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8098B">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8098B">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8098B">
        <w:tc>
          <w:tcPr>
            <w:tcW w:w="11070" w:type="dxa"/>
          </w:tcPr>
          <w:p w14:paraId="71D76F1C" w14:textId="1B09715D" w:rsidR="000655CF" w:rsidRPr="000655CF" w:rsidRDefault="000655CF" w:rsidP="000655CF">
            <w:pPr>
              <w:spacing w:after="0" w:line="240" w:lineRule="auto"/>
              <w:rPr>
                <w:rFonts w:ascii="Arial" w:eastAsia="Times New Roman" w:hAnsi="Arial" w:cs="Arial"/>
                <w:sz w:val="10"/>
                <w:szCs w:val="10"/>
              </w:rPr>
            </w:pPr>
          </w:p>
        </w:tc>
      </w:tr>
      <w:tr w:rsidR="000655CF" w:rsidRPr="000655CF" w14:paraId="7A8702E7" w14:textId="77777777" w:rsidTr="0038098B">
        <w:trPr>
          <w:trHeight w:val="630"/>
        </w:trPr>
        <w:tc>
          <w:tcPr>
            <w:tcW w:w="11070" w:type="dxa"/>
            <w:shd w:val="clear" w:color="auto" w:fill="1D203A"/>
          </w:tcPr>
          <w:p w14:paraId="3C0DDA93" w14:textId="32DD04B2"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8098B">
        <w:tc>
          <w:tcPr>
            <w:tcW w:w="11070" w:type="dxa"/>
          </w:tcPr>
          <w:p w14:paraId="28875F64" w14:textId="69F08EF0"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8098B">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8098B">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8098B">
        <w:tc>
          <w:tcPr>
            <w:tcW w:w="11070" w:type="dxa"/>
          </w:tcPr>
          <w:p w14:paraId="3E3442A9" w14:textId="544EC70A" w:rsidR="000655CF" w:rsidRPr="000655CF" w:rsidRDefault="00A45FF8"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735D4B70">
                      <wp:simplePos x="0" y="0"/>
                      <wp:positionH relativeFrom="column">
                        <wp:posOffset>1233653</wp:posOffset>
                      </wp:positionH>
                      <wp:positionV relativeFrom="page">
                        <wp:posOffset>-604937</wp:posOffset>
                      </wp:positionV>
                      <wp:extent cx="4863711"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863711" cy="402336"/>
                              </a:xfrm>
                              <a:prstGeom prst="rect">
                                <a:avLst/>
                              </a:prstGeom>
                              <a:noFill/>
                              <a:ln w="6350">
                                <a:noFill/>
                              </a:ln>
                            </wps:spPr>
                            <wps:txbx>
                              <w:txbxContent>
                                <w:p w14:paraId="0395BA9A" w14:textId="392A883C" w:rsidR="000655CF" w:rsidRPr="00CE08B4" w:rsidRDefault="00DA2B9D" w:rsidP="000655CF">
                                  <w:pPr>
                                    <w:pStyle w:val="FFormTitle"/>
                                    <w:rPr>
                                      <w:rFonts w:ascii="Arial" w:hAnsi="Arial"/>
                                      <w:sz w:val="42"/>
                                      <w:szCs w:val="42"/>
                                    </w:rPr>
                                  </w:pPr>
                                  <w:r>
                                    <w:rPr>
                                      <w:rFonts w:ascii="Arial" w:hAnsi="Arial"/>
                                      <w:sz w:val="42"/>
                                      <w:szCs w:val="42"/>
                                    </w:rPr>
                                    <w:t>Supplier Debriefing</w:t>
                                  </w:r>
                                  <w:r w:rsidR="00D10E92">
                                    <w:rPr>
                                      <w:rFonts w:ascii="Arial" w:hAnsi="Arial"/>
                                      <w:sz w:val="42"/>
                                      <w:szCs w:val="42"/>
                                    </w:rPr>
                                    <w:t xml:space="preserve">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left:0;text-align:left;margin-left:97.15pt;margin-top:-47.65pt;width:382.9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YfFwIAACwEAAAOAAAAZHJzL2Uyb0RvYy54bWysU8tu2zAQvBfoPxC815Jsx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" filled="f" stroked="f" strokeweight=".5pt">
                      <v:textbox>
                        <w:txbxContent>
                          <w:p w14:paraId="0395BA9A" w14:textId="392A883C" w:rsidR="000655CF" w:rsidRPr="00CE08B4" w:rsidRDefault="00DA2B9D" w:rsidP="000655CF">
                            <w:pPr>
                              <w:pStyle w:val="FFormTitle"/>
                              <w:rPr>
                                <w:rFonts w:ascii="Arial" w:hAnsi="Arial"/>
                                <w:sz w:val="42"/>
                                <w:szCs w:val="42"/>
                              </w:rPr>
                            </w:pPr>
                            <w:r>
                              <w:rPr>
                                <w:rFonts w:ascii="Arial" w:hAnsi="Arial"/>
                                <w:sz w:val="42"/>
                                <w:szCs w:val="42"/>
                              </w:rPr>
                              <w:t>Supplier Debriefing</w:t>
                            </w:r>
                            <w:r w:rsidR="00D10E92">
                              <w:rPr>
                                <w:rFonts w:ascii="Arial" w:hAnsi="Arial"/>
                                <w:sz w:val="42"/>
                                <w:szCs w:val="42"/>
                              </w:rPr>
                              <w:t xml:space="preserve"> Guidelines</w:t>
                            </w:r>
                          </w:p>
                        </w:txbxContent>
                      </v:textbox>
                      <w10:wrap anchory="page"/>
                    </v:shape>
                  </w:pict>
                </mc:Fallback>
              </mc:AlternateContent>
            </w:r>
            <w:r w:rsidR="000655CF"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0BB5458C" w:rsidR="000655CF" w:rsidRPr="005A4A17" w:rsidRDefault="00D10E92" w:rsidP="00347409">
            <w:pPr>
              <w:spacing w:before="120" w:after="120"/>
              <w:rPr>
                <w:rFonts w:ascii="Arial" w:hAnsi="Arial" w:cs="Arial"/>
                <w:b/>
                <w:color w:val="FFFFFF" w:themeColor="background1"/>
              </w:rPr>
            </w:pPr>
            <w:r w:rsidRPr="0038098B">
              <w:rPr>
                <w:rFonts w:ascii="Arial" w:hAnsi="Arial" w:cs="Arial"/>
                <w:b/>
                <w:color w:val="FFFFFF" w:themeColor="background1"/>
                <w:sz w:val="24"/>
                <w:szCs w:val="24"/>
              </w:rPr>
              <w:t>General Guidelines</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D10E92">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tcBorders>
              <w:bottom w:val="single" w:sz="8" w:space="0" w:color="1D203A"/>
            </w:tcBorders>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D10E92" w:rsidRPr="004C2C53" w14:paraId="7FB3D9FC" w14:textId="77777777" w:rsidTr="00D10E92">
        <w:trPr>
          <w:jc w:val="center"/>
        </w:trPr>
        <w:tc>
          <w:tcPr>
            <w:tcW w:w="255" w:type="dxa"/>
            <w:vMerge/>
          </w:tcPr>
          <w:p w14:paraId="29D559D2" w14:textId="77777777" w:rsidR="00D10E92" w:rsidRPr="00CE08B4" w:rsidRDefault="00D10E92"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D10E92" w:rsidRPr="00CE08B4" w:rsidRDefault="00D10E92"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5772608D" w:rsidR="00D10E92" w:rsidRPr="00D10E92" w:rsidRDefault="00DA2B9D" w:rsidP="00080016">
            <w:pPr>
              <w:spacing w:before="120" w:after="120"/>
              <w:rPr>
                <w:rFonts w:ascii="Arial" w:hAnsi="Arial" w:cs="Arial"/>
                <w:bCs/>
              </w:rPr>
            </w:pPr>
            <w:r>
              <w:rPr>
                <w:rFonts w:ascii="Arial" w:hAnsi="Arial" w:cs="Arial"/>
                <w:bCs/>
                <w:sz w:val="24"/>
                <w:szCs w:val="24"/>
              </w:rPr>
              <w:t>Please</w:t>
            </w:r>
            <w:r w:rsidR="00D10E92" w:rsidRPr="0038098B">
              <w:rPr>
                <w:rFonts w:ascii="Arial" w:hAnsi="Arial" w:cs="Arial"/>
                <w:bCs/>
                <w:sz w:val="24"/>
                <w:szCs w:val="24"/>
              </w:rPr>
              <w:t xml:space="preserve"> </w:t>
            </w:r>
            <w:r w:rsidR="00080016">
              <w:rPr>
                <w:rFonts w:ascii="Arial" w:hAnsi="Arial" w:cs="Arial"/>
                <w:bCs/>
                <w:sz w:val="24"/>
                <w:szCs w:val="24"/>
              </w:rPr>
              <w:t xml:space="preserve">reference these </w:t>
            </w:r>
            <w:r w:rsidR="006E0210">
              <w:rPr>
                <w:rFonts w:ascii="Arial" w:hAnsi="Arial" w:cs="Arial"/>
                <w:bCs/>
                <w:sz w:val="24"/>
                <w:szCs w:val="24"/>
              </w:rPr>
              <w:t xml:space="preserve">general </w:t>
            </w:r>
            <w:r w:rsidR="00080016">
              <w:rPr>
                <w:rFonts w:ascii="Arial" w:hAnsi="Arial" w:cs="Arial"/>
                <w:bCs/>
                <w:sz w:val="24"/>
                <w:szCs w:val="24"/>
              </w:rPr>
              <w:t xml:space="preserve">guidelines and tips for conducting supplier debriefing sessions. In the event of any conflict between these guidelines and the </w:t>
            </w:r>
            <w:r w:rsidR="00D10E92" w:rsidRPr="0038098B">
              <w:rPr>
                <w:rFonts w:ascii="Arial" w:hAnsi="Arial" w:cs="Arial"/>
                <w:bCs/>
                <w:sz w:val="24"/>
                <w:szCs w:val="24"/>
              </w:rPr>
              <w:t>Georgia Procurement Manual (GPM), the GPM shall govern.</w:t>
            </w:r>
          </w:p>
        </w:tc>
        <w:tc>
          <w:tcPr>
            <w:tcW w:w="275" w:type="dxa"/>
            <w:tcBorders>
              <w:left w:val="single" w:sz="8" w:space="0" w:color="1D203A"/>
            </w:tcBorders>
            <w:shd w:val="clear" w:color="auto" w:fill="E7E6E6"/>
          </w:tcPr>
          <w:p w14:paraId="47B0FA35" w14:textId="77777777" w:rsidR="00D10E92" w:rsidRPr="00CE08B4" w:rsidRDefault="00D10E92" w:rsidP="00347409">
            <w:pPr>
              <w:spacing w:before="120" w:after="120"/>
              <w:rPr>
                <w:rFonts w:ascii="Arial" w:hAnsi="Arial" w:cs="Arial"/>
                <w:b/>
              </w:rPr>
            </w:pPr>
          </w:p>
        </w:tc>
        <w:tc>
          <w:tcPr>
            <w:tcW w:w="255" w:type="dxa"/>
            <w:vMerge/>
          </w:tcPr>
          <w:p w14:paraId="6B7B9945" w14:textId="77777777" w:rsidR="00D10E92" w:rsidRPr="004C2C53" w:rsidRDefault="00D10E92" w:rsidP="00347409">
            <w:pPr>
              <w:spacing w:before="120" w:after="120"/>
              <w:rPr>
                <w:rFonts w:ascii="Arial" w:hAnsi="Arial" w:cs="Arial"/>
                <w:b/>
                <w:sz w:val="2"/>
                <w:szCs w:val="2"/>
              </w:rPr>
            </w:pPr>
          </w:p>
        </w:tc>
      </w:tr>
      <w:tr w:rsidR="000655CF" w:rsidRPr="004C2C53" w14:paraId="2764A8F7" w14:textId="77777777" w:rsidTr="00D10E92">
        <w:trPr>
          <w:trHeight w:val="106"/>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D10E92">
            <w:pPr>
              <w:spacing w:after="0" w:line="240" w:lineRule="auto"/>
              <w:rPr>
                <w:rFonts w:ascii="Arial" w:hAnsi="Arial" w:cs="Arial"/>
                <w:b/>
                <w:sz w:val="10"/>
                <w:szCs w:val="10"/>
              </w:rPr>
            </w:pPr>
          </w:p>
        </w:tc>
        <w:tc>
          <w:tcPr>
            <w:tcW w:w="4770" w:type="dxa"/>
            <w:tcBorders>
              <w:top w:val="single" w:sz="8" w:space="0" w:color="1D203A"/>
              <w:left w:val="nil"/>
              <w:bottom w:val="nil"/>
              <w:right w:val="nil"/>
            </w:tcBorders>
            <w:shd w:val="clear" w:color="auto" w:fill="E7E6E6"/>
          </w:tcPr>
          <w:p w14:paraId="27B2993C" w14:textId="7E50816A" w:rsidR="000655CF" w:rsidRPr="00CE08B4" w:rsidRDefault="000655CF" w:rsidP="00D10E92">
            <w:pPr>
              <w:spacing w:after="0" w:line="240" w:lineRule="auto"/>
              <w:rPr>
                <w:rFonts w:ascii="Arial" w:hAnsi="Arial" w:cs="Arial"/>
                <w:b/>
              </w:rPr>
            </w:pPr>
          </w:p>
        </w:tc>
        <w:tc>
          <w:tcPr>
            <w:tcW w:w="270" w:type="dxa"/>
            <w:tcBorders>
              <w:top w:val="single" w:sz="8" w:space="0" w:color="1D203A"/>
              <w:left w:val="nil"/>
              <w:bottom w:val="nil"/>
              <w:right w:val="nil"/>
            </w:tcBorders>
            <w:shd w:val="clear" w:color="auto" w:fill="E7E6E6"/>
          </w:tcPr>
          <w:p w14:paraId="09AD6A3E" w14:textId="77777777" w:rsidR="000655CF" w:rsidRPr="00CE08B4" w:rsidRDefault="000655CF" w:rsidP="00D10E92">
            <w:pPr>
              <w:spacing w:after="0" w:line="240" w:lineRule="auto"/>
              <w:rPr>
                <w:rFonts w:ascii="Arial" w:hAnsi="Arial" w:cs="Arial"/>
                <w:b/>
              </w:rPr>
            </w:pPr>
          </w:p>
        </w:tc>
        <w:tc>
          <w:tcPr>
            <w:tcW w:w="4590" w:type="dxa"/>
            <w:tcBorders>
              <w:top w:val="single" w:sz="8" w:space="0" w:color="1D203A"/>
              <w:left w:val="nil"/>
              <w:bottom w:val="nil"/>
              <w:right w:val="nil"/>
            </w:tcBorders>
            <w:shd w:val="clear" w:color="auto" w:fill="E7E6E6"/>
            <w:vAlign w:val="bottom"/>
          </w:tcPr>
          <w:p w14:paraId="5CD17F06" w14:textId="48C9BC7A" w:rsidR="000655CF" w:rsidRPr="00CE08B4" w:rsidRDefault="000655CF" w:rsidP="00D10E92">
            <w:pPr>
              <w:spacing w:after="0" w:line="240" w:lineRule="auto"/>
              <w:rPr>
                <w:rFonts w:ascii="Arial" w:hAnsi="Arial" w:cs="Arial"/>
                <w:b/>
              </w:rPr>
            </w:pPr>
          </w:p>
        </w:tc>
        <w:tc>
          <w:tcPr>
            <w:tcW w:w="275" w:type="dxa"/>
            <w:tcBorders>
              <w:left w:val="nil"/>
            </w:tcBorders>
            <w:shd w:val="clear" w:color="auto" w:fill="E7E6E6"/>
          </w:tcPr>
          <w:p w14:paraId="6C02F35A" w14:textId="77777777" w:rsidR="000655CF" w:rsidRPr="00CE08B4" w:rsidRDefault="000655CF" w:rsidP="00D10E92">
            <w:pPr>
              <w:spacing w:after="0" w:line="240" w:lineRule="auto"/>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BA22E3">
      <w:pPr>
        <w:spacing w:after="0" w:line="240" w:lineRule="auto"/>
        <w:jc w:val="center"/>
        <w:rPr>
          <w:rFonts w:ascii="Arial" w:hAnsi="Arial" w:cs="Arial"/>
          <w:b/>
          <w:sz w:val="28"/>
          <w:szCs w:val="28"/>
        </w:rPr>
      </w:pPr>
    </w:p>
    <w:p w14:paraId="52DB9C39" w14:textId="18E2D661" w:rsidR="00080016" w:rsidRDefault="00080016" w:rsidP="00080016">
      <w:pPr>
        <w:pStyle w:val="ListParagraph"/>
        <w:widowControl w:val="0"/>
        <w:numPr>
          <w:ilvl w:val="0"/>
          <w:numId w:val="20"/>
        </w:numPr>
        <w:tabs>
          <w:tab w:val="left" w:pos="720"/>
        </w:tabs>
        <w:spacing w:after="0" w:line="240" w:lineRule="auto"/>
        <w:ind w:left="734" w:right="115" w:hanging="547"/>
        <w:rPr>
          <w:rFonts w:ascii="Arial" w:hAnsi="Arial" w:cs="Arial"/>
          <w:sz w:val="24"/>
          <w:szCs w:val="24"/>
        </w:rPr>
      </w:pPr>
      <w:r w:rsidRPr="00080016">
        <w:rPr>
          <w:rFonts w:ascii="Arial" w:hAnsi="Arial" w:cs="Arial"/>
          <w:b/>
          <w:bCs/>
          <w:sz w:val="24"/>
          <w:szCs w:val="24"/>
        </w:rPr>
        <w:t>Purpose</w:t>
      </w:r>
      <w:r w:rsidRPr="00080016">
        <w:rPr>
          <w:rFonts w:ascii="Arial" w:hAnsi="Arial" w:cs="Arial"/>
          <w:sz w:val="24"/>
          <w:szCs w:val="24"/>
        </w:rPr>
        <w:t>. The purpose of a supplier debriefing is to share information about the evaluation and award process. Suppliers can benefit from supplier debriefings by enhancing their understanding of the procurement process and gaining insights to improve the competitiveness of their responses to future solicitations. The supplier debriefing is not an adversarial proceeding and may not be used to challenge the state entity’s selection and award process.</w:t>
      </w:r>
    </w:p>
    <w:p w14:paraId="3F4FEB8D" w14:textId="77777777" w:rsidR="00080016" w:rsidRPr="00080016" w:rsidRDefault="00080016" w:rsidP="00080016">
      <w:pPr>
        <w:pStyle w:val="ListParagraph"/>
        <w:widowControl w:val="0"/>
        <w:tabs>
          <w:tab w:val="left" w:pos="720"/>
        </w:tabs>
        <w:spacing w:after="0" w:line="240" w:lineRule="auto"/>
        <w:ind w:left="734" w:right="115"/>
        <w:rPr>
          <w:rFonts w:ascii="Arial" w:hAnsi="Arial" w:cs="Arial"/>
          <w:sz w:val="24"/>
          <w:szCs w:val="24"/>
        </w:rPr>
      </w:pPr>
    </w:p>
    <w:p w14:paraId="7E224426" w14:textId="562B36A1" w:rsidR="00D10E92" w:rsidRPr="00080016" w:rsidRDefault="00080016" w:rsidP="00080016">
      <w:pPr>
        <w:pStyle w:val="ListParagraph"/>
        <w:widowControl w:val="0"/>
        <w:numPr>
          <w:ilvl w:val="0"/>
          <w:numId w:val="20"/>
        </w:numPr>
        <w:tabs>
          <w:tab w:val="left" w:pos="720"/>
        </w:tabs>
        <w:autoSpaceDE w:val="0"/>
        <w:autoSpaceDN w:val="0"/>
        <w:spacing w:after="0" w:line="240" w:lineRule="auto"/>
        <w:ind w:left="734" w:right="115" w:hanging="547"/>
        <w:rPr>
          <w:rFonts w:ascii="Arial" w:hAnsi="Arial" w:cs="Arial"/>
          <w:sz w:val="24"/>
          <w:szCs w:val="24"/>
        </w:rPr>
      </w:pPr>
      <w:r w:rsidRPr="00080016">
        <w:rPr>
          <w:rFonts w:ascii="Arial" w:hAnsi="Arial" w:cs="Arial"/>
          <w:b/>
          <w:bCs/>
          <w:sz w:val="24"/>
          <w:szCs w:val="24"/>
        </w:rPr>
        <w:t>Scope and Application</w:t>
      </w:r>
      <w:r w:rsidR="00D10E92" w:rsidRPr="00080016">
        <w:rPr>
          <w:rFonts w:ascii="Arial" w:hAnsi="Arial" w:cs="Arial"/>
          <w:sz w:val="24"/>
          <w:szCs w:val="24"/>
        </w:rPr>
        <w:t xml:space="preserve">. </w:t>
      </w:r>
      <w:r w:rsidRPr="00080016">
        <w:rPr>
          <w:rFonts w:ascii="Arial" w:hAnsi="Arial" w:cs="Arial"/>
          <w:sz w:val="24"/>
          <w:szCs w:val="24"/>
        </w:rPr>
        <w:t>The supplier debriefing process is available, upon request, to any supplier who submitted an unsuccessful response to a competitive solicitation resulting in contract award valued at $250,000 or more. The supplier debriefing process is not applicable to Requests for Information, sole source notices, or consortia notices</w:t>
      </w:r>
      <w:r w:rsidR="00D10E92" w:rsidRPr="00080016">
        <w:rPr>
          <w:rFonts w:ascii="Arial" w:hAnsi="Arial" w:cs="Arial"/>
          <w:sz w:val="24"/>
          <w:szCs w:val="24"/>
        </w:rPr>
        <w:t>.</w:t>
      </w:r>
      <w:r w:rsidRPr="00080016">
        <w:rPr>
          <w:rFonts w:ascii="Arial" w:hAnsi="Arial" w:cs="Arial"/>
          <w:sz w:val="24"/>
          <w:szCs w:val="24"/>
        </w:rPr>
        <w:t xml:space="preserve"> The general scope of the supplier debriefing may include an overview of the solicitation process, the selection criteria, the unsuccessful supplier’s evaluation results and the strengths and weaknesses of the unsuccessful supplier’s response. The debriefing shall not include point-by-point comparisons of the debriefed supplier’s response with those of other participating suppliers. The state entity, at its discretion, may also solicit feedback from the unsuccessful supplier regarding the procurement process.</w:t>
      </w:r>
      <w:r>
        <w:rPr>
          <w:rFonts w:ascii="Arial" w:hAnsi="Arial" w:cs="Arial"/>
          <w:sz w:val="24"/>
          <w:szCs w:val="24"/>
        </w:rPr>
        <w:t xml:space="preserve"> </w:t>
      </w:r>
    </w:p>
    <w:p w14:paraId="039D639D" w14:textId="77777777" w:rsidR="00D10E92" w:rsidRPr="00080016" w:rsidRDefault="00D10E92" w:rsidP="00080016">
      <w:pPr>
        <w:pStyle w:val="BodyText"/>
        <w:tabs>
          <w:tab w:val="left" w:pos="720"/>
        </w:tabs>
        <w:ind w:left="734" w:right="115" w:hanging="547"/>
        <w:rPr>
          <w:sz w:val="24"/>
          <w:szCs w:val="24"/>
        </w:rPr>
      </w:pPr>
    </w:p>
    <w:p w14:paraId="4803309D" w14:textId="2036E6DA" w:rsidR="00D10E92" w:rsidRPr="00080016" w:rsidRDefault="00080016" w:rsidP="00080016">
      <w:pPr>
        <w:pStyle w:val="ListParagraph"/>
        <w:widowControl w:val="0"/>
        <w:numPr>
          <w:ilvl w:val="0"/>
          <w:numId w:val="20"/>
        </w:numPr>
        <w:tabs>
          <w:tab w:val="left" w:pos="720"/>
        </w:tabs>
        <w:autoSpaceDE w:val="0"/>
        <w:autoSpaceDN w:val="0"/>
        <w:spacing w:after="0" w:line="240" w:lineRule="auto"/>
        <w:ind w:left="734" w:right="115" w:hanging="547"/>
        <w:rPr>
          <w:rFonts w:ascii="Arial" w:hAnsi="Arial" w:cs="Arial"/>
          <w:sz w:val="24"/>
          <w:szCs w:val="24"/>
        </w:rPr>
      </w:pPr>
      <w:r w:rsidRPr="00080016">
        <w:rPr>
          <w:rFonts w:ascii="Arial" w:hAnsi="Arial" w:cs="Arial"/>
          <w:b/>
          <w:bCs/>
          <w:sz w:val="24"/>
          <w:szCs w:val="24"/>
        </w:rPr>
        <w:t>Conducting Debriefing Sessions</w:t>
      </w:r>
      <w:r w:rsidR="0038098B" w:rsidRPr="00080016">
        <w:rPr>
          <w:rFonts w:ascii="Arial" w:hAnsi="Arial" w:cs="Arial"/>
          <w:sz w:val="24"/>
          <w:szCs w:val="24"/>
        </w:rPr>
        <w:t>.</w:t>
      </w:r>
      <w:r w:rsidR="00D10E92" w:rsidRPr="00080016">
        <w:rPr>
          <w:rFonts w:ascii="Arial" w:hAnsi="Arial" w:cs="Arial"/>
          <w:sz w:val="24"/>
          <w:szCs w:val="24"/>
        </w:rPr>
        <w:t xml:space="preserve"> </w:t>
      </w:r>
      <w:r w:rsidRPr="00080016">
        <w:rPr>
          <w:rFonts w:ascii="Arial" w:hAnsi="Arial" w:cs="Arial"/>
          <w:sz w:val="24"/>
          <w:szCs w:val="24"/>
        </w:rPr>
        <w:t>Whenever possible, the Issuing Officer should schedule the supplier debriefing session to occur within thirty (30) days of the supplier’s request</w:t>
      </w:r>
      <w:r w:rsidR="00D10E92" w:rsidRPr="00080016">
        <w:rPr>
          <w:rFonts w:ascii="Arial" w:hAnsi="Arial" w:cs="Arial"/>
          <w:sz w:val="24"/>
          <w:szCs w:val="24"/>
        </w:rPr>
        <w:t>.</w:t>
      </w:r>
      <w:r w:rsidRPr="00080016">
        <w:rPr>
          <w:rFonts w:ascii="Arial" w:hAnsi="Arial" w:cs="Arial"/>
          <w:sz w:val="24"/>
          <w:szCs w:val="24"/>
        </w:rPr>
        <w:t xml:space="preserve"> Debriefings may be in-person, via phone or virtual meeting.</w:t>
      </w:r>
      <w:r w:rsidR="006E0210">
        <w:rPr>
          <w:rFonts w:ascii="Arial" w:hAnsi="Arial" w:cs="Arial"/>
          <w:sz w:val="24"/>
          <w:szCs w:val="24"/>
        </w:rPr>
        <w:t xml:space="preserve"> More information is included in GPM Section 6.6 Supplier Debriefing Process.</w:t>
      </w:r>
    </w:p>
    <w:p w14:paraId="3D6CC1D0" w14:textId="77777777" w:rsidR="00D10E92" w:rsidRPr="00080016" w:rsidRDefault="00D10E92" w:rsidP="00080016">
      <w:pPr>
        <w:pStyle w:val="BodyText"/>
        <w:tabs>
          <w:tab w:val="left" w:pos="720"/>
        </w:tabs>
        <w:ind w:left="734" w:right="115" w:hanging="547"/>
        <w:rPr>
          <w:sz w:val="24"/>
          <w:szCs w:val="24"/>
        </w:rPr>
      </w:pPr>
    </w:p>
    <w:p w14:paraId="60785765" w14:textId="77777777" w:rsidR="00080016" w:rsidRPr="00080016" w:rsidRDefault="00080016" w:rsidP="00080016">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080016">
        <w:rPr>
          <w:rFonts w:ascii="Arial" w:hAnsi="Arial" w:cs="Arial"/>
          <w:b/>
          <w:bCs/>
          <w:sz w:val="24"/>
          <w:szCs w:val="24"/>
        </w:rPr>
        <w:t>Preparation</w:t>
      </w:r>
      <w:r w:rsidR="0038098B" w:rsidRPr="00080016">
        <w:rPr>
          <w:rFonts w:ascii="Arial" w:hAnsi="Arial" w:cs="Arial"/>
          <w:sz w:val="24"/>
          <w:szCs w:val="24"/>
        </w:rPr>
        <w:t>.</w:t>
      </w:r>
      <w:r w:rsidR="00965EB4" w:rsidRPr="00080016">
        <w:rPr>
          <w:rFonts w:ascii="Arial" w:hAnsi="Arial" w:cs="Arial"/>
          <w:sz w:val="24"/>
          <w:szCs w:val="24"/>
        </w:rPr>
        <w:t xml:space="preserve"> </w:t>
      </w:r>
      <w:r w:rsidRPr="00080016">
        <w:rPr>
          <w:rFonts w:ascii="Arial" w:hAnsi="Arial" w:cs="Arial"/>
          <w:sz w:val="24"/>
          <w:szCs w:val="24"/>
        </w:rPr>
        <w:t>The Issuing Officer should review relevant evaluation materials for the requesting supplier in advance of the meeting</w:t>
      </w:r>
      <w:r w:rsidR="00D10E92" w:rsidRPr="00080016">
        <w:rPr>
          <w:rFonts w:ascii="Arial" w:hAnsi="Arial" w:cs="Arial"/>
          <w:sz w:val="24"/>
          <w:szCs w:val="24"/>
        </w:rPr>
        <w:t>.</w:t>
      </w:r>
      <w:r w:rsidRPr="00080016">
        <w:rPr>
          <w:rFonts w:ascii="Arial" w:hAnsi="Arial" w:cs="Arial"/>
          <w:sz w:val="24"/>
          <w:szCs w:val="24"/>
        </w:rPr>
        <w:t xml:space="preserve"> For additional tips, please review the remainder of these guidelines.</w:t>
      </w:r>
    </w:p>
    <w:p w14:paraId="03BD9549" w14:textId="77777777" w:rsidR="00080016" w:rsidRPr="00080016" w:rsidRDefault="00080016" w:rsidP="00080016">
      <w:pPr>
        <w:pStyle w:val="ListParagraph"/>
        <w:spacing w:after="0" w:line="240" w:lineRule="auto"/>
        <w:rPr>
          <w:rFonts w:ascii="Arial" w:hAnsi="Arial" w:cs="Arial"/>
          <w:b/>
          <w:bCs/>
          <w:sz w:val="24"/>
          <w:szCs w:val="24"/>
        </w:rPr>
      </w:pPr>
    </w:p>
    <w:p w14:paraId="1E315739" w14:textId="3B86EBD1" w:rsidR="00D10E92" w:rsidRPr="00080016" w:rsidRDefault="00080016" w:rsidP="00080016">
      <w:pPr>
        <w:pStyle w:val="ListParagraph"/>
        <w:widowControl w:val="0"/>
        <w:numPr>
          <w:ilvl w:val="0"/>
          <w:numId w:val="20"/>
        </w:numPr>
        <w:tabs>
          <w:tab w:val="left" w:pos="720"/>
        </w:tabs>
        <w:autoSpaceDE w:val="0"/>
        <w:autoSpaceDN w:val="0"/>
        <w:spacing w:after="0" w:line="240" w:lineRule="auto"/>
        <w:ind w:left="720" w:right="112" w:hanging="540"/>
        <w:rPr>
          <w:rFonts w:ascii="Arial" w:hAnsi="Arial" w:cs="Arial"/>
          <w:sz w:val="24"/>
          <w:szCs w:val="24"/>
        </w:rPr>
      </w:pPr>
      <w:r w:rsidRPr="00080016">
        <w:rPr>
          <w:rFonts w:ascii="Arial" w:hAnsi="Arial" w:cs="Arial"/>
          <w:b/>
          <w:bCs/>
          <w:sz w:val="24"/>
          <w:szCs w:val="24"/>
        </w:rPr>
        <w:t>Documentation</w:t>
      </w:r>
      <w:r w:rsidR="0038098B" w:rsidRPr="00080016">
        <w:rPr>
          <w:rFonts w:ascii="Arial" w:hAnsi="Arial" w:cs="Arial"/>
          <w:sz w:val="24"/>
          <w:szCs w:val="24"/>
        </w:rPr>
        <w:t>.</w:t>
      </w:r>
      <w:r w:rsidR="00965EB4" w:rsidRPr="00080016">
        <w:rPr>
          <w:rFonts w:ascii="Arial" w:hAnsi="Arial" w:cs="Arial"/>
          <w:sz w:val="24"/>
          <w:szCs w:val="24"/>
        </w:rPr>
        <w:t xml:space="preserve"> </w:t>
      </w:r>
      <w:r w:rsidRPr="00080016">
        <w:rPr>
          <w:rFonts w:ascii="Arial" w:hAnsi="Arial" w:cs="Arial"/>
          <w:sz w:val="24"/>
          <w:szCs w:val="24"/>
          <w:lang w:eastAsia="ja-JP"/>
        </w:rPr>
        <w:t>Documentation of the supplier debriefing should be maintained by the state entity as part of the procurement files</w:t>
      </w:r>
      <w:r w:rsidR="00D10E92" w:rsidRPr="00080016">
        <w:rPr>
          <w:rFonts w:ascii="Arial" w:hAnsi="Arial" w:cs="Arial"/>
          <w:sz w:val="24"/>
          <w:szCs w:val="24"/>
        </w:rPr>
        <w:t>.</w:t>
      </w:r>
      <w:r w:rsidRPr="00080016">
        <w:rPr>
          <w:rFonts w:ascii="Arial" w:hAnsi="Arial" w:cs="Arial"/>
          <w:sz w:val="24"/>
          <w:szCs w:val="24"/>
        </w:rPr>
        <w:t xml:space="preserve"> The Issuing Officer may use </w:t>
      </w:r>
      <w:hyperlink r:id="rId13" w:history="1">
        <w:r w:rsidRPr="0055472A">
          <w:rPr>
            <w:rStyle w:val="Hyperlink"/>
            <w:rFonts w:ascii="Arial" w:hAnsi="Arial" w:cs="Arial"/>
            <w:sz w:val="24"/>
            <w:szCs w:val="24"/>
          </w:rPr>
          <w:t>SPD-AP015 Supplier Debriefing Record Template</w:t>
        </w:r>
      </w:hyperlink>
      <w:r w:rsidRPr="00080016">
        <w:rPr>
          <w:rFonts w:ascii="Arial" w:hAnsi="Arial" w:cs="Arial"/>
          <w:sz w:val="24"/>
          <w:szCs w:val="24"/>
        </w:rPr>
        <w:t xml:space="preserve"> or other resource.</w:t>
      </w:r>
    </w:p>
    <w:p w14:paraId="65EBDC67" w14:textId="77777777" w:rsidR="00D10E92" w:rsidRPr="00D10E92" w:rsidRDefault="00D10E92" w:rsidP="00965EB4">
      <w:pPr>
        <w:pStyle w:val="BodyText"/>
        <w:tabs>
          <w:tab w:val="left" w:pos="720"/>
        </w:tabs>
        <w:ind w:left="720" w:right="112" w:hanging="540"/>
        <w:rPr>
          <w:sz w:val="24"/>
          <w:szCs w:val="24"/>
        </w:rPr>
      </w:pPr>
    </w:p>
    <w:p w14:paraId="146BEC43" w14:textId="77777777" w:rsidR="0038098B" w:rsidRDefault="0038098B" w:rsidP="0038098B">
      <w:pPr>
        <w:pStyle w:val="BodyText"/>
        <w:tabs>
          <w:tab w:val="left" w:pos="720"/>
        </w:tabs>
        <w:ind w:left="720" w:hanging="540"/>
        <w:rPr>
          <w:sz w:val="24"/>
          <w:szCs w:val="24"/>
        </w:rPr>
      </w:pPr>
    </w:p>
    <w:p w14:paraId="5AD1B78D" w14:textId="77777777" w:rsidR="001C007B" w:rsidRDefault="001C007B"/>
    <w:p w14:paraId="1E227332" w14:textId="776530FA" w:rsidR="0025217C" w:rsidRPr="0025217C" w:rsidRDefault="0025217C" w:rsidP="0025217C">
      <w:pPr>
        <w:pStyle w:val="ListParagraph"/>
        <w:numPr>
          <w:ilvl w:val="0"/>
          <w:numId w:val="20"/>
        </w:numPr>
        <w:spacing w:after="0" w:line="240" w:lineRule="auto"/>
        <w:ind w:left="720" w:hanging="540"/>
        <w:contextualSpacing/>
        <w:rPr>
          <w:rFonts w:ascii="Arial" w:hAnsi="Arial" w:cs="Arial"/>
          <w:b/>
          <w:bCs/>
          <w:color w:val="000000" w:themeColor="text1"/>
          <w:sz w:val="32"/>
          <w:szCs w:val="24"/>
        </w:rPr>
      </w:pPr>
      <w:r w:rsidRPr="0025217C">
        <w:rPr>
          <w:rFonts w:ascii="Arial" w:hAnsi="Arial" w:cs="Arial"/>
          <w:b/>
          <w:bCs/>
          <w:color w:val="000000" w:themeColor="text1"/>
          <w:sz w:val="24"/>
          <w:szCs w:val="21"/>
        </w:rPr>
        <w:lastRenderedPageBreak/>
        <w:t>General Tips for Conducting Supplier Debrief Sessions</w:t>
      </w:r>
      <w:r>
        <w:rPr>
          <w:rFonts w:ascii="Arial" w:hAnsi="Arial" w:cs="Arial"/>
          <w:color w:val="000000" w:themeColor="text1"/>
          <w:sz w:val="24"/>
          <w:szCs w:val="21"/>
        </w:rPr>
        <w:t>. When preparing for the supplier debrief session, consider the following tips:</w:t>
      </w:r>
    </w:p>
    <w:p w14:paraId="029DB9FB" w14:textId="09305466" w:rsidR="0025217C" w:rsidRPr="0033627B" w:rsidRDefault="0025217C" w:rsidP="0033627B">
      <w:pPr>
        <w:pStyle w:val="ListParagraph"/>
        <w:numPr>
          <w:ilvl w:val="0"/>
          <w:numId w:val="23"/>
        </w:numPr>
        <w:tabs>
          <w:tab w:val="clear" w:pos="72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If the debriefing is a face-to-face meeting, then establish the rules up front. Make it clear that the reason for the meeting is to explain the evaluation process and why the Supplier was unsuccessful.</w:t>
      </w:r>
    </w:p>
    <w:p w14:paraId="3633AC83" w14:textId="77777777" w:rsidR="0033627B" w:rsidRPr="0033627B" w:rsidRDefault="0033627B" w:rsidP="0033627B">
      <w:pPr>
        <w:pStyle w:val="ListParagraph"/>
        <w:spacing w:after="0" w:line="240" w:lineRule="auto"/>
        <w:ind w:left="1440"/>
        <w:rPr>
          <w:rFonts w:ascii="Arial" w:hAnsi="Arial" w:cs="Arial"/>
          <w:color w:val="000000" w:themeColor="text1"/>
          <w:sz w:val="24"/>
          <w:szCs w:val="21"/>
        </w:rPr>
      </w:pPr>
    </w:p>
    <w:p w14:paraId="1F5E0B47" w14:textId="4E8E5FCD" w:rsidR="0025217C" w:rsidRPr="0033627B" w:rsidRDefault="0025217C" w:rsidP="0033627B">
      <w:pPr>
        <w:pStyle w:val="ListParagraph"/>
        <w:numPr>
          <w:ilvl w:val="0"/>
          <w:numId w:val="24"/>
        </w:numPr>
        <w:tabs>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 xml:space="preserve">Establish an agenda that has been approved by </w:t>
      </w:r>
      <w:r>
        <w:rPr>
          <w:rFonts w:ascii="Arial" w:eastAsiaTheme="minorEastAsia" w:hAnsi="Arial" w:cs="Arial"/>
          <w:color w:val="000000" w:themeColor="text1"/>
          <w:kern w:val="24"/>
          <w:sz w:val="24"/>
          <w:szCs w:val="24"/>
        </w:rPr>
        <w:t>your leadership (</w:t>
      </w:r>
      <w:r w:rsidRPr="0025217C">
        <w:rPr>
          <w:rFonts w:ascii="Arial" w:eastAsiaTheme="minorEastAsia" w:hAnsi="Arial" w:cs="Arial"/>
          <w:color w:val="000000" w:themeColor="text1"/>
          <w:kern w:val="24"/>
          <w:sz w:val="24"/>
          <w:szCs w:val="24"/>
        </w:rPr>
        <w:t>APO</w:t>
      </w:r>
      <w:r>
        <w:rPr>
          <w:rFonts w:ascii="Arial" w:eastAsiaTheme="minorEastAsia" w:hAnsi="Arial" w:cs="Arial"/>
          <w:color w:val="000000" w:themeColor="text1"/>
          <w:kern w:val="24"/>
          <w:sz w:val="24"/>
          <w:szCs w:val="24"/>
        </w:rPr>
        <w:t xml:space="preserve">, </w:t>
      </w:r>
      <w:r w:rsidRPr="0025217C">
        <w:rPr>
          <w:rFonts w:ascii="Arial" w:eastAsiaTheme="minorEastAsia" w:hAnsi="Arial" w:cs="Arial"/>
          <w:color w:val="000000" w:themeColor="text1"/>
          <w:kern w:val="24"/>
          <w:sz w:val="24"/>
          <w:szCs w:val="24"/>
        </w:rPr>
        <w:t>CUPO or SPD Leadership</w:t>
      </w:r>
      <w:r>
        <w:rPr>
          <w:rFonts w:ascii="Arial" w:eastAsiaTheme="minorEastAsia" w:hAnsi="Arial" w:cs="Arial"/>
          <w:color w:val="000000" w:themeColor="text1"/>
          <w:kern w:val="24"/>
          <w:sz w:val="24"/>
          <w:szCs w:val="24"/>
        </w:rPr>
        <w:t xml:space="preserve"> as applicable)</w:t>
      </w:r>
      <w:r w:rsidRPr="0025217C">
        <w:rPr>
          <w:rFonts w:ascii="Arial" w:eastAsiaTheme="minorEastAsia" w:hAnsi="Arial" w:cs="Arial"/>
          <w:color w:val="000000" w:themeColor="text1"/>
          <w:kern w:val="24"/>
          <w:sz w:val="24"/>
          <w:szCs w:val="24"/>
        </w:rPr>
        <w:t>.</w:t>
      </w:r>
    </w:p>
    <w:p w14:paraId="5077EB9B" w14:textId="77777777" w:rsidR="0033627B" w:rsidRPr="0033627B" w:rsidRDefault="0033627B" w:rsidP="0033627B">
      <w:pPr>
        <w:pStyle w:val="ListParagraph"/>
        <w:tabs>
          <w:tab w:val="num" w:pos="1440"/>
        </w:tabs>
        <w:spacing w:after="0" w:line="240" w:lineRule="auto"/>
        <w:ind w:left="1440"/>
        <w:rPr>
          <w:rFonts w:ascii="Arial" w:hAnsi="Arial" w:cs="Arial"/>
          <w:color w:val="000000" w:themeColor="text1"/>
          <w:sz w:val="24"/>
          <w:szCs w:val="21"/>
        </w:rPr>
      </w:pPr>
    </w:p>
    <w:p w14:paraId="46454C52" w14:textId="0DB978DA" w:rsidR="0025217C" w:rsidRPr="0033627B" w:rsidRDefault="0025217C" w:rsidP="0033627B">
      <w:pPr>
        <w:pStyle w:val="ListParagraph"/>
        <w:numPr>
          <w:ilvl w:val="0"/>
          <w:numId w:val="24"/>
        </w:numPr>
        <w:tabs>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Take time to explain the RFX evaluation process. Many times, the Supplier is not familiar with the state procurement process or does not appreciate the rigor involved with ensuring the process is thorough.</w:t>
      </w:r>
    </w:p>
    <w:p w14:paraId="2A3BA1E8"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2CAFF9F1" w14:textId="77777777"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Only discuss the bid/proposal made by the unsuccessful Supplier. DO NOT make comparisons between it and the winning bid/proposal.</w:t>
      </w:r>
    </w:p>
    <w:p w14:paraId="3829F737" w14:textId="77777777" w:rsidR="0033627B" w:rsidRPr="0033627B" w:rsidRDefault="0033627B" w:rsidP="0033627B">
      <w:pPr>
        <w:pStyle w:val="ListParagraph"/>
        <w:tabs>
          <w:tab w:val="num" w:pos="1440"/>
        </w:tabs>
        <w:spacing w:after="0" w:line="240" w:lineRule="auto"/>
        <w:ind w:left="1440"/>
        <w:rPr>
          <w:rFonts w:ascii="Arial" w:hAnsi="Arial" w:cs="Arial"/>
          <w:color w:val="000000" w:themeColor="text1"/>
          <w:sz w:val="24"/>
          <w:szCs w:val="21"/>
        </w:rPr>
      </w:pPr>
    </w:p>
    <w:p w14:paraId="520B5C29" w14:textId="77777777"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Only refer to the evaluation criteria listed in the RFQ/RFP. DO NOT make comments on matters unrelated to the RFQ/RFP criteria.</w:t>
      </w:r>
    </w:p>
    <w:p w14:paraId="21F864BE"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51194650" w14:textId="77777777"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For RFPs, use the evaluation spreadsheet that lists the scores for the unsuccessful Supplier. Emphasize the weakness of the proposal as per the score. You may state, for example, “Out of a total of 50 points …your proposal scored 25.” Do not provide scores for any other specific proposals.</w:t>
      </w:r>
    </w:p>
    <w:p w14:paraId="2F3144CB"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06A33995" w14:textId="60FEBD2F"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 xml:space="preserve">Explain where the unsuccessful proposal ranked in the final evaluation, but not in relationship to any other specific proposals. Say only that </w:t>
      </w:r>
      <w:r>
        <w:rPr>
          <w:rFonts w:ascii="Arial" w:eastAsiaTheme="minorEastAsia" w:hAnsi="Arial" w:cs="Arial"/>
          <w:color w:val="000000" w:themeColor="text1"/>
          <w:kern w:val="24"/>
          <w:sz w:val="24"/>
          <w:szCs w:val="24"/>
        </w:rPr>
        <w:t>“</w:t>
      </w:r>
      <w:r w:rsidRPr="0025217C">
        <w:rPr>
          <w:rFonts w:ascii="Arial" w:eastAsiaTheme="minorEastAsia" w:hAnsi="Arial" w:cs="Arial"/>
          <w:color w:val="000000" w:themeColor="text1"/>
          <w:kern w:val="24"/>
          <w:sz w:val="24"/>
          <w:szCs w:val="24"/>
        </w:rPr>
        <w:t>Out of five proposals, yours ranked third (or fourth, etc.).</w:t>
      </w:r>
      <w:r>
        <w:rPr>
          <w:rFonts w:ascii="Arial" w:eastAsiaTheme="minorEastAsia" w:hAnsi="Arial" w:cs="Arial"/>
          <w:color w:val="000000" w:themeColor="text1"/>
          <w:kern w:val="24"/>
          <w:sz w:val="24"/>
          <w:szCs w:val="24"/>
        </w:rPr>
        <w:t>”</w:t>
      </w:r>
      <w:r w:rsidRPr="0025217C">
        <w:rPr>
          <w:rFonts w:ascii="Arial" w:eastAsiaTheme="minorEastAsia" w:hAnsi="Arial" w:cs="Arial"/>
          <w:color w:val="000000" w:themeColor="text1"/>
          <w:kern w:val="24"/>
          <w:sz w:val="24"/>
          <w:szCs w:val="24"/>
        </w:rPr>
        <w:t xml:space="preserve"> Do not mention the names of the other Suppliers.</w:t>
      </w:r>
    </w:p>
    <w:p w14:paraId="59F30FBC"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5F6A1A9C" w14:textId="52AE5FEF"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Point out the strengths of the Supplier’s bid/proposal and acknowledge where the Supplier met requirements or performed well.</w:t>
      </w:r>
    </w:p>
    <w:p w14:paraId="4693B88C"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5F3C8D8E" w14:textId="77777777" w:rsidR="0033627B"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Provide advice on how the Supplier can improve their scoring in future proposal submissions.  If the supplier failed a mandatory or was otherwise disqualified, address how to avoid a similar situation in the future.</w:t>
      </w:r>
    </w:p>
    <w:p w14:paraId="310F78FF" w14:textId="77777777" w:rsidR="0033627B" w:rsidRPr="0033627B" w:rsidRDefault="0033627B" w:rsidP="0033627B">
      <w:pPr>
        <w:pStyle w:val="ListParagraph"/>
        <w:spacing w:after="0" w:line="240" w:lineRule="auto"/>
        <w:rPr>
          <w:rFonts w:ascii="Arial" w:eastAsiaTheme="minorEastAsia" w:hAnsi="Arial" w:cs="Arial"/>
          <w:color w:val="000000" w:themeColor="text1"/>
          <w:kern w:val="24"/>
          <w:sz w:val="24"/>
          <w:szCs w:val="24"/>
        </w:rPr>
      </w:pPr>
    </w:p>
    <w:p w14:paraId="5FE1DAC0" w14:textId="3FC6852B" w:rsidR="0025217C" w:rsidRPr="0033627B"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Confirm at the end of the session that the Supplier is satisfied with the debriefing.</w:t>
      </w:r>
    </w:p>
    <w:p w14:paraId="343DA542" w14:textId="77777777" w:rsidR="0033627B" w:rsidRPr="0033627B" w:rsidRDefault="0033627B" w:rsidP="0033627B">
      <w:pPr>
        <w:pStyle w:val="ListParagraph"/>
        <w:spacing w:after="0" w:line="240" w:lineRule="auto"/>
        <w:rPr>
          <w:rFonts w:ascii="Arial" w:hAnsi="Arial" w:cs="Arial"/>
          <w:color w:val="000000" w:themeColor="text1"/>
          <w:sz w:val="24"/>
          <w:szCs w:val="21"/>
        </w:rPr>
      </w:pPr>
    </w:p>
    <w:p w14:paraId="56F3B38E" w14:textId="77777777" w:rsidR="0025217C" w:rsidRPr="0025217C" w:rsidRDefault="0025217C" w:rsidP="0033627B">
      <w:pPr>
        <w:pStyle w:val="ListParagraph"/>
        <w:numPr>
          <w:ilvl w:val="0"/>
          <w:numId w:val="23"/>
        </w:numPr>
        <w:tabs>
          <w:tab w:val="clear" w:pos="720"/>
          <w:tab w:val="num" w:pos="1440"/>
        </w:tabs>
        <w:spacing w:after="0" w:line="240" w:lineRule="auto"/>
        <w:ind w:left="1440"/>
        <w:rPr>
          <w:rFonts w:ascii="Arial" w:hAnsi="Arial" w:cs="Arial"/>
          <w:color w:val="000000" w:themeColor="text1"/>
          <w:sz w:val="32"/>
          <w:szCs w:val="24"/>
        </w:rPr>
      </w:pPr>
      <w:r w:rsidRPr="0025217C">
        <w:rPr>
          <w:rFonts w:ascii="Arial" w:eastAsiaTheme="minorEastAsia" w:hAnsi="Arial" w:cs="Arial"/>
          <w:color w:val="000000" w:themeColor="text1"/>
          <w:kern w:val="24"/>
          <w:sz w:val="24"/>
          <w:szCs w:val="24"/>
        </w:rPr>
        <w:t>Ask for feedback on the State’s procurement process and areas that might be improved.</w:t>
      </w:r>
    </w:p>
    <w:p w14:paraId="153C52DC" w14:textId="77777777" w:rsidR="0025217C" w:rsidRPr="0025217C" w:rsidRDefault="0025217C" w:rsidP="0025217C">
      <w:pPr>
        <w:pStyle w:val="ListParagraph"/>
        <w:tabs>
          <w:tab w:val="num" w:pos="1440"/>
        </w:tabs>
        <w:spacing w:after="0" w:line="240" w:lineRule="auto"/>
        <w:ind w:left="1440"/>
        <w:rPr>
          <w:rFonts w:ascii="Arial" w:hAnsi="Arial" w:cs="Arial"/>
          <w:color w:val="000000" w:themeColor="text1"/>
          <w:sz w:val="32"/>
          <w:szCs w:val="24"/>
        </w:rPr>
      </w:pPr>
    </w:p>
    <w:p w14:paraId="1D7E847C" w14:textId="1C601B84" w:rsidR="0025217C" w:rsidRDefault="0025217C" w:rsidP="0025217C">
      <w:pPr>
        <w:pStyle w:val="ListParagraph"/>
        <w:numPr>
          <w:ilvl w:val="0"/>
          <w:numId w:val="20"/>
        </w:numPr>
        <w:spacing w:after="0" w:line="240" w:lineRule="auto"/>
        <w:ind w:left="720" w:hanging="540"/>
        <w:rPr>
          <w:rFonts w:ascii="Arial" w:hAnsi="Arial" w:cs="Arial"/>
          <w:color w:val="000000" w:themeColor="text1"/>
          <w:sz w:val="24"/>
          <w:szCs w:val="21"/>
        </w:rPr>
      </w:pPr>
      <w:r w:rsidRPr="0025217C">
        <w:rPr>
          <w:rFonts w:ascii="Arial" w:hAnsi="Arial" w:cs="Arial"/>
          <w:b/>
          <w:bCs/>
          <w:color w:val="000000" w:themeColor="text1"/>
          <w:sz w:val="24"/>
          <w:szCs w:val="21"/>
        </w:rPr>
        <w:t>Suggestions for Suppliers</w:t>
      </w:r>
      <w:r w:rsidRPr="0025217C">
        <w:rPr>
          <w:rFonts w:ascii="Arial" w:hAnsi="Arial" w:cs="Arial"/>
          <w:color w:val="000000" w:themeColor="text1"/>
          <w:sz w:val="24"/>
          <w:szCs w:val="21"/>
        </w:rPr>
        <w:t>.</w:t>
      </w:r>
      <w:r>
        <w:rPr>
          <w:rFonts w:ascii="Arial" w:hAnsi="Arial" w:cs="Arial"/>
          <w:color w:val="000000" w:themeColor="text1"/>
          <w:sz w:val="24"/>
          <w:szCs w:val="21"/>
        </w:rPr>
        <w:t xml:space="preserve"> As the purpose of the supplier debriefing is educational, suppliers may be seeking suggestions to improve competitiveness. </w:t>
      </w:r>
    </w:p>
    <w:p w14:paraId="60EC7AF8" w14:textId="77777777" w:rsidR="0033627B" w:rsidRDefault="0033627B" w:rsidP="0033627B">
      <w:pPr>
        <w:pStyle w:val="ListParagraph"/>
        <w:spacing w:after="0" w:line="240" w:lineRule="auto"/>
        <w:rPr>
          <w:rFonts w:ascii="Arial" w:hAnsi="Arial" w:cs="Arial"/>
          <w:color w:val="000000" w:themeColor="text1"/>
          <w:sz w:val="24"/>
          <w:szCs w:val="21"/>
        </w:rPr>
      </w:pPr>
    </w:p>
    <w:p w14:paraId="1EC050CB" w14:textId="33816FD8"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Encourage suppliers to thoroughly review the RFQ/RFP documents. Also, suppliers should check back frequently to view any changes to the documents.</w:t>
      </w:r>
    </w:p>
    <w:p w14:paraId="6472361E" w14:textId="77777777" w:rsidR="0025217C" w:rsidRDefault="0025217C" w:rsidP="0033627B">
      <w:pPr>
        <w:tabs>
          <w:tab w:val="left" w:pos="6469"/>
        </w:tabs>
        <w:spacing w:after="0" w:line="240" w:lineRule="auto"/>
        <w:ind w:left="1440" w:hanging="360"/>
        <w:contextualSpacing/>
        <w:rPr>
          <w:rFonts w:ascii="Arial" w:hAnsi="Arial" w:cs="Arial"/>
          <w:color w:val="000000" w:themeColor="text1"/>
          <w:sz w:val="24"/>
          <w:szCs w:val="24"/>
        </w:rPr>
      </w:pPr>
    </w:p>
    <w:p w14:paraId="34DABC2B" w14:textId="07AC8D42"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 xml:space="preserve">Encourage suppliers to participate in the Question &amp; Answer session allotted during the RFQ/RFP. Review the solicitation to identify the submission deadline and instructions for </w:t>
      </w:r>
      <w:r w:rsidRPr="0025217C">
        <w:rPr>
          <w:rFonts w:ascii="Arial" w:hAnsi="Arial" w:cs="Arial"/>
          <w:color w:val="000000" w:themeColor="text1"/>
          <w:sz w:val="24"/>
          <w:szCs w:val="24"/>
        </w:rPr>
        <w:lastRenderedPageBreak/>
        <w:t>submitting. If requirements or instructions are not clear, please submit a question to the issuing officer.  Review other suppliers’ questions and the State’s responses.</w:t>
      </w:r>
    </w:p>
    <w:p w14:paraId="46718255" w14:textId="77777777" w:rsidR="0025217C" w:rsidRPr="0025217C" w:rsidRDefault="0025217C" w:rsidP="0033627B">
      <w:pPr>
        <w:tabs>
          <w:tab w:val="left" w:pos="6469"/>
        </w:tabs>
        <w:spacing w:after="0" w:line="240" w:lineRule="auto"/>
        <w:ind w:left="1440" w:hanging="360"/>
        <w:rPr>
          <w:rFonts w:ascii="Arial" w:hAnsi="Arial" w:cs="Arial"/>
          <w:color w:val="000000" w:themeColor="text1"/>
          <w:sz w:val="24"/>
          <w:szCs w:val="24"/>
        </w:rPr>
      </w:pPr>
    </w:p>
    <w:p w14:paraId="0BA1C003" w14:textId="01B3E403"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Encourage suppliers to attend the Bi</w:t>
      </w:r>
      <w:r w:rsidR="0033627B">
        <w:rPr>
          <w:rFonts w:ascii="Arial" w:hAnsi="Arial" w:cs="Arial"/>
          <w:color w:val="000000" w:themeColor="text1"/>
          <w:sz w:val="24"/>
          <w:szCs w:val="24"/>
        </w:rPr>
        <w:t>d</w:t>
      </w:r>
      <w:r w:rsidRPr="0025217C">
        <w:rPr>
          <w:rFonts w:ascii="Arial" w:hAnsi="Arial" w:cs="Arial"/>
          <w:color w:val="000000" w:themeColor="text1"/>
          <w:sz w:val="24"/>
          <w:szCs w:val="24"/>
        </w:rPr>
        <w:t>d</w:t>
      </w:r>
      <w:r w:rsidR="0033627B">
        <w:rPr>
          <w:rFonts w:ascii="Arial" w:hAnsi="Arial" w:cs="Arial"/>
          <w:color w:val="000000" w:themeColor="text1"/>
          <w:sz w:val="24"/>
          <w:szCs w:val="24"/>
        </w:rPr>
        <w:t>ers/Offerors’</w:t>
      </w:r>
      <w:r w:rsidRPr="0025217C">
        <w:rPr>
          <w:rFonts w:ascii="Arial" w:hAnsi="Arial" w:cs="Arial"/>
          <w:color w:val="000000" w:themeColor="text1"/>
          <w:sz w:val="24"/>
          <w:szCs w:val="24"/>
        </w:rPr>
        <w:t xml:space="preserve"> Conference, </w:t>
      </w:r>
      <w:r w:rsidRPr="0025217C">
        <w:rPr>
          <w:rFonts w:ascii="Arial" w:hAnsi="Arial" w:cs="Arial"/>
          <w:i/>
          <w:iCs/>
          <w:color w:val="000000" w:themeColor="text1"/>
          <w:sz w:val="24"/>
          <w:szCs w:val="24"/>
        </w:rPr>
        <w:t>if available</w:t>
      </w:r>
      <w:r w:rsidRPr="0025217C">
        <w:rPr>
          <w:rFonts w:ascii="Arial" w:hAnsi="Arial" w:cs="Arial"/>
          <w:color w:val="000000" w:themeColor="text1"/>
          <w:sz w:val="24"/>
          <w:szCs w:val="24"/>
        </w:rPr>
        <w:t>. This is a great way to receive additional information and also share questions.</w:t>
      </w:r>
    </w:p>
    <w:p w14:paraId="574FF15B" w14:textId="77777777" w:rsidR="0025217C" w:rsidRPr="0025217C" w:rsidRDefault="0025217C" w:rsidP="0033627B">
      <w:pPr>
        <w:pStyle w:val="ListParagraph"/>
        <w:spacing w:after="0" w:line="240" w:lineRule="auto"/>
        <w:ind w:left="1440" w:hanging="360"/>
        <w:rPr>
          <w:rFonts w:ascii="Arial" w:hAnsi="Arial" w:cs="Arial"/>
          <w:color w:val="000000" w:themeColor="text1"/>
          <w:sz w:val="24"/>
          <w:szCs w:val="24"/>
        </w:rPr>
      </w:pPr>
    </w:p>
    <w:p w14:paraId="30EB07BA" w14:textId="46C7E9D3"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 xml:space="preserve">Encourage suppliers to participate in DOAS Supplier Training. It is free and available to anyone. To get started, access </w:t>
      </w:r>
      <w:r w:rsidR="0033627B">
        <w:rPr>
          <w:rFonts w:ascii="Arial" w:hAnsi="Arial" w:cs="Arial"/>
          <w:color w:val="000000" w:themeColor="text1"/>
          <w:sz w:val="24"/>
          <w:szCs w:val="24"/>
        </w:rPr>
        <w:t xml:space="preserve">the </w:t>
      </w:r>
      <w:hyperlink r:id="rId14" w:history="1">
        <w:r w:rsidR="0033627B" w:rsidRPr="0033627B">
          <w:rPr>
            <w:rStyle w:val="Hyperlink"/>
            <w:rFonts w:ascii="Arial" w:hAnsi="Arial" w:cs="Arial"/>
            <w:sz w:val="24"/>
            <w:szCs w:val="24"/>
          </w:rPr>
          <w:t>DOAS</w:t>
        </w:r>
        <w:r w:rsidRPr="0033627B">
          <w:rPr>
            <w:rStyle w:val="Hyperlink"/>
            <w:rFonts w:ascii="Arial" w:hAnsi="Arial" w:cs="Arial"/>
            <w:sz w:val="24"/>
            <w:szCs w:val="24"/>
          </w:rPr>
          <w:t xml:space="preserve"> website</w:t>
        </w:r>
      </w:hyperlink>
      <w:r w:rsidR="0033627B">
        <w:rPr>
          <w:rFonts w:ascii="Arial" w:hAnsi="Arial" w:cs="Arial"/>
          <w:color w:val="000000" w:themeColor="text1"/>
          <w:sz w:val="24"/>
          <w:szCs w:val="24"/>
        </w:rPr>
        <w:t>.</w:t>
      </w:r>
      <w:r w:rsidRPr="0025217C">
        <w:rPr>
          <w:rFonts w:ascii="Arial" w:hAnsi="Arial" w:cs="Arial"/>
          <w:color w:val="000000" w:themeColor="text1"/>
          <w:sz w:val="24"/>
          <w:szCs w:val="24"/>
        </w:rPr>
        <w:t xml:space="preserve"> </w:t>
      </w:r>
    </w:p>
    <w:p w14:paraId="439431FA" w14:textId="77777777" w:rsidR="0025217C" w:rsidRPr="0025217C" w:rsidRDefault="0025217C" w:rsidP="0033627B">
      <w:pPr>
        <w:tabs>
          <w:tab w:val="left" w:pos="6469"/>
        </w:tabs>
        <w:spacing w:after="0" w:line="240" w:lineRule="auto"/>
        <w:ind w:left="1440" w:hanging="360"/>
        <w:rPr>
          <w:rFonts w:ascii="Arial" w:hAnsi="Arial" w:cs="Arial"/>
          <w:color w:val="000000" w:themeColor="text1"/>
          <w:sz w:val="24"/>
          <w:szCs w:val="24"/>
        </w:rPr>
      </w:pPr>
    </w:p>
    <w:p w14:paraId="274E21A2" w14:textId="13129378"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Advise suppliers to verify the bid/proposal submissions deadline and not to wait until the last minute to submit bid. For electronic submission, large files may take time to upload.  Internet speeds or other website traffic may impact response time. Allowing sufficient time for bid submission will reduce stress and the likelihood of mistakes or failing to meet the submission deadline.</w:t>
      </w:r>
    </w:p>
    <w:p w14:paraId="7B6D0735" w14:textId="77777777" w:rsidR="0025217C" w:rsidRPr="0025217C" w:rsidRDefault="0025217C" w:rsidP="0033627B">
      <w:pPr>
        <w:pStyle w:val="ListParagraph"/>
        <w:spacing w:after="0" w:line="240" w:lineRule="auto"/>
        <w:ind w:left="1440" w:hanging="360"/>
        <w:rPr>
          <w:rFonts w:ascii="Arial" w:hAnsi="Arial" w:cs="Arial"/>
          <w:color w:val="000000" w:themeColor="text1"/>
          <w:sz w:val="24"/>
          <w:szCs w:val="24"/>
        </w:rPr>
      </w:pPr>
    </w:p>
    <w:p w14:paraId="20BA87C6" w14:textId="6D3F020E"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 xml:space="preserve">Experiencing technical issues with the electronic bidding tool? For </w:t>
      </w:r>
      <w:r>
        <w:rPr>
          <w:rFonts w:ascii="Arial" w:hAnsi="Arial" w:cs="Arial"/>
          <w:color w:val="000000" w:themeColor="text1"/>
          <w:sz w:val="24"/>
          <w:szCs w:val="24"/>
        </w:rPr>
        <w:t>GA@WORK Marketplace</w:t>
      </w:r>
      <w:r w:rsidRPr="0025217C">
        <w:rPr>
          <w:rFonts w:ascii="Arial" w:hAnsi="Arial" w:cs="Arial"/>
          <w:color w:val="000000" w:themeColor="text1"/>
          <w:sz w:val="24"/>
          <w:szCs w:val="24"/>
        </w:rPr>
        <w:t xml:space="preserve">, contact SPD for support: </w:t>
      </w:r>
      <w:hyperlink r:id="rId15" w:history="1">
        <w:r w:rsidR="0033627B" w:rsidRPr="009A0B08">
          <w:rPr>
            <w:rStyle w:val="Hyperlink"/>
            <w:rFonts w:ascii="Arial" w:hAnsi="Arial" w:cs="Arial"/>
            <w:sz w:val="24"/>
            <w:szCs w:val="24"/>
          </w:rPr>
          <w:t>procurementhelp@doas.ga.gov</w:t>
        </w:r>
      </w:hyperlink>
      <w:r w:rsidR="0033627B">
        <w:rPr>
          <w:rFonts w:ascii="Arial" w:hAnsi="Arial" w:cs="Arial"/>
          <w:color w:val="000000" w:themeColor="text1"/>
          <w:sz w:val="24"/>
          <w:szCs w:val="24"/>
        </w:rPr>
        <w:t xml:space="preserve"> </w:t>
      </w:r>
      <w:r w:rsidRPr="0025217C">
        <w:rPr>
          <w:rFonts w:ascii="Arial" w:hAnsi="Arial" w:cs="Arial"/>
          <w:color w:val="000000" w:themeColor="text1"/>
          <w:sz w:val="24"/>
          <w:szCs w:val="24"/>
        </w:rPr>
        <w:t>or 404-657-6000.</w:t>
      </w:r>
    </w:p>
    <w:p w14:paraId="2EF772CC" w14:textId="77777777" w:rsidR="0025217C" w:rsidRPr="0025217C" w:rsidRDefault="0025217C" w:rsidP="0033627B">
      <w:pPr>
        <w:pStyle w:val="ListParagraph"/>
        <w:spacing w:after="0" w:line="240" w:lineRule="auto"/>
        <w:ind w:left="1440" w:hanging="360"/>
        <w:rPr>
          <w:rFonts w:ascii="Arial" w:hAnsi="Arial" w:cs="Arial"/>
          <w:color w:val="000000" w:themeColor="text1"/>
          <w:sz w:val="24"/>
          <w:szCs w:val="24"/>
        </w:rPr>
      </w:pPr>
    </w:p>
    <w:p w14:paraId="65FBDAF7" w14:textId="085D24A3"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 xml:space="preserve">Encourage suppliers to keep their contact information and NIGP code selection </w:t>
      </w:r>
      <w:r w:rsidR="006E0210" w:rsidRPr="0025217C">
        <w:rPr>
          <w:rFonts w:ascii="Arial" w:hAnsi="Arial" w:cs="Arial"/>
          <w:color w:val="000000" w:themeColor="text1"/>
          <w:sz w:val="24"/>
          <w:szCs w:val="24"/>
        </w:rPr>
        <w:t>up to date</w:t>
      </w:r>
      <w:r w:rsidRPr="0025217C">
        <w:rPr>
          <w:rFonts w:ascii="Arial" w:hAnsi="Arial" w:cs="Arial"/>
          <w:color w:val="000000" w:themeColor="text1"/>
          <w:sz w:val="24"/>
          <w:szCs w:val="24"/>
        </w:rPr>
        <w:t xml:space="preserve"> in </w:t>
      </w:r>
      <w:hyperlink r:id="rId16" w:history="1">
        <w:r w:rsidR="006E0210" w:rsidRPr="006E0210">
          <w:rPr>
            <w:rStyle w:val="Hyperlink"/>
            <w:rFonts w:ascii="Arial" w:hAnsi="Arial" w:cs="Arial"/>
            <w:sz w:val="24"/>
            <w:szCs w:val="24"/>
          </w:rPr>
          <w:t>GA@WORK Marketplace for Suppliers</w:t>
        </w:r>
      </w:hyperlink>
      <w:r w:rsidRPr="0025217C">
        <w:rPr>
          <w:rFonts w:ascii="Arial" w:hAnsi="Arial" w:cs="Arial"/>
          <w:color w:val="000000" w:themeColor="text1"/>
          <w:sz w:val="24"/>
          <w:szCs w:val="24"/>
        </w:rPr>
        <w:t xml:space="preserve"> to ensure they receive appropriate notification.  </w:t>
      </w:r>
    </w:p>
    <w:p w14:paraId="0A0C344A" w14:textId="77777777" w:rsidR="0025217C" w:rsidRPr="0025217C" w:rsidRDefault="0025217C" w:rsidP="0033627B">
      <w:pPr>
        <w:pStyle w:val="ListParagraph"/>
        <w:spacing w:after="0" w:line="240" w:lineRule="auto"/>
        <w:ind w:left="1440" w:hanging="360"/>
        <w:rPr>
          <w:rFonts w:ascii="Arial" w:hAnsi="Arial" w:cs="Arial"/>
          <w:color w:val="000000" w:themeColor="text1"/>
          <w:sz w:val="24"/>
          <w:szCs w:val="24"/>
        </w:rPr>
      </w:pPr>
    </w:p>
    <w:p w14:paraId="113EA658" w14:textId="5050BEB9" w:rsidR="0025217C" w:rsidRPr="0025217C" w:rsidRDefault="0025217C" w:rsidP="0033627B">
      <w:pPr>
        <w:pStyle w:val="ListParagraph"/>
        <w:numPr>
          <w:ilvl w:val="0"/>
          <w:numId w:val="28"/>
        </w:numPr>
        <w:tabs>
          <w:tab w:val="left" w:pos="6469"/>
        </w:tabs>
        <w:spacing w:after="0" w:line="240" w:lineRule="auto"/>
        <w:ind w:left="1440"/>
        <w:contextualSpacing/>
        <w:rPr>
          <w:rFonts w:ascii="Arial" w:hAnsi="Arial" w:cs="Arial"/>
          <w:color w:val="000000" w:themeColor="text1"/>
          <w:sz w:val="24"/>
          <w:szCs w:val="24"/>
        </w:rPr>
      </w:pPr>
      <w:r w:rsidRPr="0025217C">
        <w:rPr>
          <w:rFonts w:ascii="Arial" w:hAnsi="Arial" w:cs="Arial"/>
          <w:color w:val="000000" w:themeColor="text1"/>
          <w:sz w:val="24"/>
          <w:szCs w:val="24"/>
        </w:rPr>
        <w:t xml:space="preserve">Stay abreast of market changes, and NEVER give up. Take advantage of public information, including similar procurements that may have been conducted on the </w:t>
      </w:r>
      <w:hyperlink r:id="rId17" w:history="1">
        <w:r w:rsidRPr="0033627B">
          <w:rPr>
            <w:rStyle w:val="Hyperlink"/>
            <w:rFonts w:ascii="Arial" w:hAnsi="Arial" w:cs="Arial"/>
            <w:sz w:val="24"/>
            <w:szCs w:val="24"/>
          </w:rPr>
          <w:t>Georgia Procurement Registry</w:t>
        </w:r>
      </w:hyperlink>
      <w:r w:rsidRPr="0025217C">
        <w:rPr>
          <w:rFonts w:ascii="Arial" w:hAnsi="Arial" w:cs="Arial"/>
          <w:color w:val="000000" w:themeColor="text1"/>
          <w:sz w:val="24"/>
          <w:szCs w:val="24"/>
        </w:rPr>
        <w:t>. View the Notice of Award to see the awarded pricing offered by other competitors.</w:t>
      </w:r>
    </w:p>
    <w:p w14:paraId="2ABFE4FC" w14:textId="77777777" w:rsidR="0025217C" w:rsidRPr="0025217C" w:rsidRDefault="0025217C" w:rsidP="0025217C">
      <w:pPr>
        <w:spacing w:after="0" w:line="240" w:lineRule="auto"/>
        <w:ind w:left="1440" w:hanging="360"/>
        <w:rPr>
          <w:rFonts w:ascii="Arial" w:hAnsi="Arial" w:cs="Arial"/>
          <w:color w:val="000000" w:themeColor="text1"/>
          <w:sz w:val="24"/>
          <w:szCs w:val="24"/>
        </w:rPr>
      </w:pPr>
    </w:p>
    <w:p w14:paraId="1B0AE8E5" w14:textId="77777777" w:rsidR="0038098B" w:rsidRPr="0025217C" w:rsidRDefault="0038098B" w:rsidP="0025217C">
      <w:pPr>
        <w:pStyle w:val="BodyText"/>
        <w:tabs>
          <w:tab w:val="left" w:pos="720"/>
        </w:tabs>
        <w:ind w:left="720" w:hanging="540"/>
        <w:rPr>
          <w:color w:val="000000" w:themeColor="text1"/>
          <w:sz w:val="24"/>
          <w:szCs w:val="24"/>
        </w:rPr>
      </w:pPr>
    </w:p>
    <w:sectPr w:rsidR="0038098B" w:rsidRPr="0025217C" w:rsidSect="00965EB4">
      <w:footerReference w:type="default" r:id="rId18"/>
      <w:pgSz w:w="12240" w:h="15840" w:code="1"/>
      <w:pgMar w:top="720" w:right="576" w:bottom="864"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7B2F" w14:textId="77777777" w:rsidR="007B5C7D" w:rsidRDefault="007B5C7D" w:rsidP="00603161">
      <w:pPr>
        <w:spacing w:after="0" w:line="240" w:lineRule="auto"/>
      </w:pPr>
      <w:r>
        <w:separator/>
      </w:r>
    </w:p>
  </w:endnote>
  <w:endnote w:type="continuationSeparator" w:id="0">
    <w:p w14:paraId="1219915F" w14:textId="77777777" w:rsidR="007B5C7D" w:rsidRDefault="007B5C7D"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122E5A52">
              <wp:simplePos x="0" y="0"/>
              <wp:positionH relativeFrom="page">
                <wp:align>left</wp:align>
              </wp:positionH>
              <wp:positionV relativeFrom="paragraph">
                <wp:posOffset>40854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0F65B250"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DA2B9D">
                            <w:rPr>
                              <w:rFonts w:ascii="Arial" w:hAnsi="Arial" w:cs="Arial"/>
                              <w:b/>
                              <w:bCs/>
                              <w:sz w:val="18"/>
                              <w:szCs w:val="18"/>
                            </w:rPr>
                            <w:t>A</w:t>
                          </w:r>
                          <w:r w:rsidR="00A07A41">
                            <w:rPr>
                              <w:rFonts w:ascii="Arial" w:hAnsi="Arial" w:cs="Arial"/>
                              <w:b/>
                              <w:bCs/>
                              <w:sz w:val="18"/>
                              <w:szCs w:val="18"/>
                            </w:rPr>
                            <w:t>P</w:t>
                          </w:r>
                          <w:r>
                            <w:rPr>
                              <w:rFonts w:ascii="Arial" w:hAnsi="Arial" w:cs="Arial"/>
                              <w:b/>
                              <w:bCs/>
                              <w:sz w:val="18"/>
                              <w:szCs w:val="18"/>
                            </w:rPr>
                            <w:t>0</w:t>
                          </w:r>
                          <w:r w:rsidR="00DA2B9D">
                            <w:rPr>
                              <w:rFonts w:ascii="Arial" w:hAnsi="Arial" w:cs="Arial"/>
                              <w:b/>
                              <w:bCs/>
                              <w:sz w:val="18"/>
                              <w:szCs w:val="18"/>
                            </w:rPr>
                            <w:t>14</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0;margin-top:3.2pt;width:612pt;height:18.4pt;z-index:251659776;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0F65B250"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DA2B9D">
                      <w:rPr>
                        <w:rFonts w:ascii="Arial" w:hAnsi="Arial" w:cs="Arial"/>
                        <w:b/>
                        <w:bCs/>
                        <w:sz w:val="18"/>
                        <w:szCs w:val="18"/>
                      </w:rPr>
                      <w:t>A</w:t>
                    </w:r>
                    <w:r w:rsidR="00A07A41">
                      <w:rPr>
                        <w:rFonts w:ascii="Arial" w:hAnsi="Arial" w:cs="Arial"/>
                        <w:b/>
                        <w:bCs/>
                        <w:sz w:val="18"/>
                        <w:szCs w:val="18"/>
                      </w:rPr>
                      <w:t>P</w:t>
                    </w:r>
                    <w:r>
                      <w:rPr>
                        <w:rFonts w:ascii="Arial" w:hAnsi="Arial" w:cs="Arial"/>
                        <w:b/>
                        <w:bCs/>
                        <w:sz w:val="18"/>
                        <w:szCs w:val="18"/>
                      </w:rPr>
                      <w:t>0</w:t>
                    </w:r>
                    <w:r w:rsidR="00DA2B9D">
                      <w:rPr>
                        <w:rFonts w:ascii="Arial" w:hAnsi="Arial" w:cs="Arial"/>
                        <w:b/>
                        <w:bCs/>
                        <w:sz w:val="18"/>
                        <w:szCs w:val="18"/>
                      </w:rPr>
                      <w:t>14</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45B5" w14:textId="77777777" w:rsidR="007B5C7D" w:rsidRDefault="007B5C7D" w:rsidP="00603161">
      <w:pPr>
        <w:spacing w:after="0" w:line="240" w:lineRule="auto"/>
      </w:pPr>
      <w:r>
        <w:separator/>
      </w:r>
    </w:p>
  </w:footnote>
  <w:footnote w:type="continuationSeparator" w:id="0">
    <w:p w14:paraId="08A10B4D" w14:textId="77777777" w:rsidR="007B5C7D" w:rsidRDefault="007B5C7D"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3E2"/>
    <w:multiLevelType w:val="hybridMultilevel"/>
    <w:tmpl w:val="BD68E262"/>
    <w:lvl w:ilvl="0" w:tplc="45A2C6AC">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2A1833F8">
      <w:numFmt w:val="bullet"/>
      <w:lvlText w:val="•"/>
      <w:lvlJc w:val="left"/>
      <w:pPr>
        <w:ind w:left="949" w:hanging="253"/>
      </w:pPr>
      <w:rPr>
        <w:rFonts w:hint="default"/>
        <w:lang w:val="en-US" w:eastAsia="en-US" w:bidi="ar-SA"/>
      </w:rPr>
    </w:lvl>
    <w:lvl w:ilvl="2" w:tplc="26F6154A">
      <w:numFmt w:val="bullet"/>
      <w:lvlText w:val="•"/>
      <w:lvlJc w:val="left"/>
      <w:pPr>
        <w:ind w:left="1539" w:hanging="253"/>
      </w:pPr>
      <w:rPr>
        <w:rFonts w:hint="default"/>
        <w:lang w:val="en-US" w:eastAsia="en-US" w:bidi="ar-SA"/>
      </w:rPr>
    </w:lvl>
    <w:lvl w:ilvl="3" w:tplc="010A1ECC">
      <w:numFmt w:val="bullet"/>
      <w:lvlText w:val="•"/>
      <w:lvlJc w:val="left"/>
      <w:pPr>
        <w:ind w:left="2129" w:hanging="253"/>
      </w:pPr>
      <w:rPr>
        <w:rFonts w:hint="default"/>
        <w:lang w:val="en-US" w:eastAsia="en-US" w:bidi="ar-SA"/>
      </w:rPr>
    </w:lvl>
    <w:lvl w:ilvl="4" w:tplc="E8CED848">
      <w:numFmt w:val="bullet"/>
      <w:lvlText w:val="•"/>
      <w:lvlJc w:val="left"/>
      <w:pPr>
        <w:ind w:left="2719" w:hanging="253"/>
      </w:pPr>
      <w:rPr>
        <w:rFonts w:hint="default"/>
        <w:lang w:val="en-US" w:eastAsia="en-US" w:bidi="ar-SA"/>
      </w:rPr>
    </w:lvl>
    <w:lvl w:ilvl="5" w:tplc="01D24A14">
      <w:numFmt w:val="bullet"/>
      <w:lvlText w:val="•"/>
      <w:lvlJc w:val="left"/>
      <w:pPr>
        <w:ind w:left="3309" w:hanging="253"/>
      </w:pPr>
      <w:rPr>
        <w:rFonts w:hint="default"/>
        <w:lang w:val="en-US" w:eastAsia="en-US" w:bidi="ar-SA"/>
      </w:rPr>
    </w:lvl>
    <w:lvl w:ilvl="6" w:tplc="5AAC0B98">
      <w:numFmt w:val="bullet"/>
      <w:lvlText w:val="•"/>
      <w:lvlJc w:val="left"/>
      <w:pPr>
        <w:ind w:left="3899" w:hanging="253"/>
      </w:pPr>
      <w:rPr>
        <w:rFonts w:hint="default"/>
        <w:lang w:val="en-US" w:eastAsia="en-US" w:bidi="ar-SA"/>
      </w:rPr>
    </w:lvl>
    <w:lvl w:ilvl="7" w:tplc="0ECC1A78">
      <w:numFmt w:val="bullet"/>
      <w:lvlText w:val="•"/>
      <w:lvlJc w:val="left"/>
      <w:pPr>
        <w:ind w:left="4489" w:hanging="253"/>
      </w:pPr>
      <w:rPr>
        <w:rFonts w:hint="default"/>
        <w:lang w:val="en-US" w:eastAsia="en-US" w:bidi="ar-SA"/>
      </w:rPr>
    </w:lvl>
    <w:lvl w:ilvl="8" w:tplc="B440A0AA">
      <w:numFmt w:val="bullet"/>
      <w:lvlText w:val="•"/>
      <w:lvlJc w:val="left"/>
      <w:pPr>
        <w:ind w:left="5079" w:hanging="253"/>
      </w:pPr>
      <w:rPr>
        <w:rFonts w:hint="default"/>
        <w:lang w:val="en-US" w:eastAsia="en-US" w:bidi="ar-SA"/>
      </w:rPr>
    </w:lvl>
  </w:abstractNum>
  <w:abstractNum w:abstractNumId="1" w15:restartNumberingAfterBreak="0">
    <w:nsid w:val="0EF90E18"/>
    <w:multiLevelType w:val="hybridMultilevel"/>
    <w:tmpl w:val="C6A6689C"/>
    <w:lvl w:ilvl="0" w:tplc="86D8836E">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8E02804C">
      <w:numFmt w:val="bullet"/>
      <w:lvlText w:val="•"/>
      <w:lvlJc w:val="left"/>
      <w:pPr>
        <w:ind w:left="949" w:hanging="253"/>
      </w:pPr>
      <w:rPr>
        <w:rFonts w:hint="default"/>
        <w:lang w:val="en-US" w:eastAsia="en-US" w:bidi="ar-SA"/>
      </w:rPr>
    </w:lvl>
    <w:lvl w:ilvl="2" w:tplc="4030EDC0">
      <w:numFmt w:val="bullet"/>
      <w:lvlText w:val="•"/>
      <w:lvlJc w:val="left"/>
      <w:pPr>
        <w:ind w:left="1539" w:hanging="253"/>
      </w:pPr>
      <w:rPr>
        <w:rFonts w:hint="default"/>
        <w:lang w:val="en-US" w:eastAsia="en-US" w:bidi="ar-SA"/>
      </w:rPr>
    </w:lvl>
    <w:lvl w:ilvl="3" w:tplc="7ED4F77E">
      <w:numFmt w:val="bullet"/>
      <w:lvlText w:val="•"/>
      <w:lvlJc w:val="left"/>
      <w:pPr>
        <w:ind w:left="2129" w:hanging="253"/>
      </w:pPr>
      <w:rPr>
        <w:rFonts w:hint="default"/>
        <w:lang w:val="en-US" w:eastAsia="en-US" w:bidi="ar-SA"/>
      </w:rPr>
    </w:lvl>
    <w:lvl w:ilvl="4" w:tplc="63C4D358">
      <w:numFmt w:val="bullet"/>
      <w:lvlText w:val="•"/>
      <w:lvlJc w:val="left"/>
      <w:pPr>
        <w:ind w:left="2719" w:hanging="253"/>
      </w:pPr>
      <w:rPr>
        <w:rFonts w:hint="default"/>
        <w:lang w:val="en-US" w:eastAsia="en-US" w:bidi="ar-SA"/>
      </w:rPr>
    </w:lvl>
    <w:lvl w:ilvl="5" w:tplc="4CD619C6">
      <w:numFmt w:val="bullet"/>
      <w:lvlText w:val="•"/>
      <w:lvlJc w:val="left"/>
      <w:pPr>
        <w:ind w:left="3309" w:hanging="253"/>
      </w:pPr>
      <w:rPr>
        <w:rFonts w:hint="default"/>
        <w:lang w:val="en-US" w:eastAsia="en-US" w:bidi="ar-SA"/>
      </w:rPr>
    </w:lvl>
    <w:lvl w:ilvl="6" w:tplc="199E4836">
      <w:numFmt w:val="bullet"/>
      <w:lvlText w:val="•"/>
      <w:lvlJc w:val="left"/>
      <w:pPr>
        <w:ind w:left="3899" w:hanging="253"/>
      </w:pPr>
      <w:rPr>
        <w:rFonts w:hint="default"/>
        <w:lang w:val="en-US" w:eastAsia="en-US" w:bidi="ar-SA"/>
      </w:rPr>
    </w:lvl>
    <w:lvl w:ilvl="7" w:tplc="D2CC93C2">
      <w:numFmt w:val="bullet"/>
      <w:lvlText w:val="•"/>
      <w:lvlJc w:val="left"/>
      <w:pPr>
        <w:ind w:left="4489" w:hanging="253"/>
      </w:pPr>
      <w:rPr>
        <w:rFonts w:hint="default"/>
        <w:lang w:val="en-US" w:eastAsia="en-US" w:bidi="ar-SA"/>
      </w:rPr>
    </w:lvl>
    <w:lvl w:ilvl="8" w:tplc="147E667E">
      <w:numFmt w:val="bullet"/>
      <w:lvlText w:val="•"/>
      <w:lvlJc w:val="left"/>
      <w:pPr>
        <w:ind w:left="5079" w:hanging="253"/>
      </w:pPr>
      <w:rPr>
        <w:rFonts w:hint="default"/>
        <w:lang w:val="en-US" w:eastAsia="en-US" w:bidi="ar-SA"/>
      </w:rPr>
    </w:lvl>
  </w:abstractNum>
  <w:abstractNum w:abstractNumId="2"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91CEE"/>
    <w:multiLevelType w:val="hybridMultilevel"/>
    <w:tmpl w:val="10E6B2B4"/>
    <w:lvl w:ilvl="0" w:tplc="130867CE">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DF98664A">
      <w:numFmt w:val="bullet"/>
      <w:lvlText w:val="•"/>
      <w:lvlJc w:val="left"/>
      <w:pPr>
        <w:ind w:left="949" w:hanging="253"/>
      </w:pPr>
      <w:rPr>
        <w:rFonts w:hint="default"/>
        <w:lang w:val="en-US" w:eastAsia="en-US" w:bidi="ar-SA"/>
      </w:rPr>
    </w:lvl>
    <w:lvl w:ilvl="2" w:tplc="AFEEC124">
      <w:numFmt w:val="bullet"/>
      <w:lvlText w:val="•"/>
      <w:lvlJc w:val="left"/>
      <w:pPr>
        <w:ind w:left="1539" w:hanging="253"/>
      </w:pPr>
      <w:rPr>
        <w:rFonts w:hint="default"/>
        <w:lang w:val="en-US" w:eastAsia="en-US" w:bidi="ar-SA"/>
      </w:rPr>
    </w:lvl>
    <w:lvl w:ilvl="3" w:tplc="34808690">
      <w:numFmt w:val="bullet"/>
      <w:lvlText w:val="•"/>
      <w:lvlJc w:val="left"/>
      <w:pPr>
        <w:ind w:left="2129" w:hanging="253"/>
      </w:pPr>
      <w:rPr>
        <w:rFonts w:hint="default"/>
        <w:lang w:val="en-US" w:eastAsia="en-US" w:bidi="ar-SA"/>
      </w:rPr>
    </w:lvl>
    <w:lvl w:ilvl="4" w:tplc="AE883908">
      <w:numFmt w:val="bullet"/>
      <w:lvlText w:val="•"/>
      <w:lvlJc w:val="left"/>
      <w:pPr>
        <w:ind w:left="2719" w:hanging="253"/>
      </w:pPr>
      <w:rPr>
        <w:rFonts w:hint="default"/>
        <w:lang w:val="en-US" w:eastAsia="en-US" w:bidi="ar-SA"/>
      </w:rPr>
    </w:lvl>
    <w:lvl w:ilvl="5" w:tplc="2F3A451E">
      <w:numFmt w:val="bullet"/>
      <w:lvlText w:val="•"/>
      <w:lvlJc w:val="left"/>
      <w:pPr>
        <w:ind w:left="3309" w:hanging="253"/>
      </w:pPr>
      <w:rPr>
        <w:rFonts w:hint="default"/>
        <w:lang w:val="en-US" w:eastAsia="en-US" w:bidi="ar-SA"/>
      </w:rPr>
    </w:lvl>
    <w:lvl w:ilvl="6" w:tplc="F2BCC01C">
      <w:numFmt w:val="bullet"/>
      <w:lvlText w:val="•"/>
      <w:lvlJc w:val="left"/>
      <w:pPr>
        <w:ind w:left="3899" w:hanging="253"/>
      </w:pPr>
      <w:rPr>
        <w:rFonts w:hint="default"/>
        <w:lang w:val="en-US" w:eastAsia="en-US" w:bidi="ar-SA"/>
      </w:rPr>
    </w:lvl>
    <w:lvl w:ilvl="7" w:tplc="98522B0E">
      <w:numFmt w:val="bullet"/>
      <w:lvlText w:val="•"/>
      <w:lvlJc w:val="left"/>
      <w:pPr>
        <w:ind w:left="4489" w:hanging="253"/>
      </w:pPr>
      <w:rPr>
        <w:rFonts w:hint="default"/>
        <w:lang w:val="en-US" w:eastAsia="en-US" w:bidi="ar-SA"/>
      </w:rPr>
    </w:lvl>
    <w:lvl w:ilvl="8" w:tplc="2B5A9BD2">
      <w:numFmt w:val="bullet"/>
      <w:lvlText w:val="•"/>
      <w:lvlJc w:val="left"/>
      <w:pPr>
        <w:ind w:left="5079" w:hanging="253"/>
      </w:pPr>
      <w:rPr>
        <w:rFonts w:hint="default"/>
        <w:lang w:val="en-US" w:eastAsia="en-US" w:bidi="ar-SA"/>
      </w:rPr>
    </w:lvl>
  </w:abstractNum>
  <w:abstractNum w:abstractNumId="5" w15:restartNumberingAfterBreak="0">
    <w:nsid w:val="362D24BD"/>
    <w:multiLevelType w:val="hybridMultilevel"/>
    <w:tmpl w:val="935CA1A8"/>
    <w:lvl w:ilvl="0" w:tplc="FFFFFFFF">
      <w:start w:val="1"/>
      <w:numFmt w:val="lowerLetter"/>
      <w:lvlText w:val="%1."/>
      <w:lvlJc w:val="left"/>
      <w:pPr>
        <w:ind w:left="1620" w:hanging="360"/>
      </w:pPr>
      <w:rPr>
        <w:rFonts w:hint="default"/>
        <w:b w:val="0"/>
        <w:i w:val="0"/>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554C3"/>
    <w:multiLevelType w:val="hybridMultilevel"/>
    <w:tmpl w:val="11C6340C"/>
    <w:lvl w:ilvl="0" w:tplc="1618EB8A">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A54CE454">
      <w:numFmt w:val="bullet"/>
      <w:lvlText w:val="•"/>
      <w:lvlJc w:val="left"/>
      <w:pPr>
        <w:ind w:left="949" w:hanging="253"/>
      </w:pPr>
      <w:rPr>
        <w:rFonts w:hint="default"/>
        <w:lang w:val="en-US" w:eastAsia="en-US" w:bidi="ar-SA"/>
      </w:rPr>
    </w:lvl>
    <w:lvl w:ilvl="2" w:tplc="0C52F2BA">
      <w:numFmt w:val="bullet"/>
      <w:lvlText w:val="•"/>
      <w:lvlJc w:val="left"/>
      <w:pPr>
        <w:ind w:left="1539" w:hanging="253"/>
      </w:pPr>
      <w:rPr>
        <w:rFonts w:hint="default"/>
        <w:lang w:val="en-US" w:eastAsia="en-US" w:bidi="ar-SA"/>
      </w:rPr>
    </w:lvl>
    <w:lvl w:ilvl="3" w:tplc="5824E2D4">
      <w:numFmt w:val="bullet"/>
      <w:lvlText w:val="•"/>
      <w:lvlJc w:val="left"/>
      <w:pPr>
        <w:ind w:left="2129" w:hanging="253"/>
      </w:pPr>
      <w:rPr>
        <w:rFonts w:hint="default"/>
        <w:lang w:val="en-US" w:eastAsia="en-US" w:bidi="ar-SA"/>
      </w:rPr>
    </w:lvl>
    <w:lvl w:ilvl="4" w:tplc="9D567112">
      <w:numFmt w:val="bullet"/>
      <w:lvlText w:val="•"/>
      <w:lvlJc w:val="left"/>
      <w:pPr>
        <w:ind w:left="2719" w:hanging="253"/>
      </w:pPr>
      <w:rPr>
        <w:rFonts w:hint="default"/>
        <w:lang w:val="en-US" w:eastAsia="en-US" w:bidi="ar-SA"/>
      </w:rPr>
    </w:lvl>
    <w:lvl w:ilvl="5" w:tplc="435C7DA0">
      <w:numFmt w:val="bullet"/>
      <w:lvlText w:val="•"/>
      <w:lvlJc w:val="left"/>
      <w:pPr>
        <w:ind w:left="3309" w:hanging="253"/>
      </w:pPr>
      <w:rPr>
        <w:rFonts w:hint="default"/>
        <w:lang w:val="en-US" w:eastAsia="en-US" w:bidi="ar-SA"/>
      </w:rPr>
    </w:lvl>
    <w:lvl w:ilvl="6" w:tplc="CB9CABE8">
      <w:numFmt w:val="bullet"/>
      <w:lvlText w:val="•"/>
      <w:lvlJc w:val="left"/>
      <w:pPr>
        <w:ind w:left="3899" w:hanging="253"/>
      </w:pPr>
      <w:rPr>
        <w:rFonts w:hint="default"/>
        <w:lang w:val="en-US" w:eastAsia="en-US" w:bidi="ar-SA"/>
      </w:rPr>
    </w:lvl>
    <w:lvl w:ilvl="7" w:tplc="949EE070">
      <w:numFmt w:val="bullet"/>
      <w:lvlText w:val="•"/>
      <w:lvlJc w:val="left"/>
      <w:pPr>
        <w:ind w:left="4489" w:hanging="253"/>
      </w:pPr>
      <w:rPr>
        <w:rFonts w:hint="default"/>
        <w:lang w:val="en-US" w:eastAsia="en-US" w:bidi="ar-SA"/>
      </w:rPr>
    </w:lvl>
    <w:lvl w:ilvl="8" w:tplc="B3B25516">
      <w:numFmt w:val="bullet"/>
      <w:lvlText w:val="•"/>
      <w:lvlJc w:val="left"/>
      <w:pPr>
        <w:ind w:left="5079" w:hanging="253"/>
      </w:pPr>
      <w:rPr>
        <w:rFonts w:hint="default"/>
        <w:lang w:val="en-US" w:eastAsia="en-US" w:bidi="ar-SA"/>
      </w:rPr>
    </w:lvl>
  </w:abstractNum>
  <w:abstractNum w:abstractNumId="8" w15:restartNumberingAfterBreak="0">
    <w:nsid w:val="41493C33"/>
    <w:multiLevelType w:val="hybridMultilevel"/>
    <w:tmpl w:val="8D961A98"/>
    <w:lvl w:ilvl="0" w:tplc="AF58443E">
      <w:numFmt w:val="bullet"/>
      <w:lvlText w:val="•"/>
      <w:lvlJc w:val="left"/>
      <w:pPr>
        <w:tabs>
          <w:tab w:val="num" w:pos="720"/>
        </w:tabs>
        <w:ind w:left="720" w:hanging="360"/>
      </w:pPr>
      <w:rPr>
        <w:rFonts w:hint="default"/>
        <w:color w:val="000000" w:themeColor="text1"/>
        <w:lang w:val="en-US" w:eastAsia="en-US" w:bidi="ar-SA"/>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6338C"/>
    <w:multiLevelType w:val="multilevel"/>
    <w:tmpl w:val="2DC2E79A"/>
    <w:lvl w:ilvl="0">
      <w:start w:val="1"/>
      <w:numFmt w:val="decimal"/>
      <w:lvlText w:val="%1"/>
      <w:lvlJc w:val="left"/>
      <w:pPr>
        <w:ind w:left="900" w:hanging="900"/>
      </w:pPr>
      <w:rPr>
        <w:rFonts w:hint="default"/>
      </w:rPr>
    </w:lvl>
    <w:lvl w:ilvl="1">
      <w:start w:val="1"/>
      <w:numFmt w:val="lowerLetter"/>
      <w:lvlText w:val="%2."/>
      <w:lvlJc w:val="left"/>
      <w:pPr>
        <w:ind w:left="1620" w:hanging="360"/>
      </w:pPr>
      <w:rPr>
        <w:rFonts w:hint="default"/>
        <w:b w:val="0"/>
        <w:i w:val="0"/>
      </w:rPr>
    </w:lvl>
    <w:lvl w:ilvl="2">
      <w:start w:val="1"/>
      <w:numFmt w:val="decimal"/>
      <w:lvlText w:val="%1.%2.%3"/>
      <w:lvlJc w:val="left"/>
      <w:pPr>
        <w:ind w:left="3420" w:hanging="90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D102DF0"/>
    <w:multiLevelType w:val="hybridMultilevel"/>
    <w:tmpl w:val="5B68FABA"/>
    <w:lvl w:ilvl="0" w:tplc="6B8675B6">
      <w:start w:val="1"/>
      <w:numFmt w:val="decimal"/>
      <w:lvlText w:val="%1."/>
      <w:lvlJc w:val="left"/>
      <w:pPr>
        <w:ind w:left="476" w:hanging="360"/>
        <w:jc w:val="left"/>
      </w:pPr>
      <w:rPr>
        <w:rFonts w:ascii="Arial" w:eastAsia="Arial" w:hAnsi="Arial" w:cs="Arial" w:hint="default"/>
        <w:b w:val="0"/>
        <w:bCs w:val="0"/>
        <w:i w:val="0"/>
        <w:iCs w:val="0"/>
        <w:spacing w:val="0"/>
        <w:w w:val="99"/>
        <w:sz w:val="24"/>
        <w:szCs w:val="24"/>
        <w:lang w:val="en-US" w:eastAsia="en-US" w:bidi="ar-SA"/>
      </w:rPr>
    </w:lvl>
    <w:lvl w:ilvl="1" w:tplc="EBC0D65A">
      <w:numFmt w:val="bullet"/>
      <w:lvlText w:val="•"/>
      <w:lvlJc w:val="left"/>
      <w:pPr>
        <w:ind w:left="1420" w:hanging="360"/>
      </w:pPr>
      <w:rPr>
        <w:rFonts w:hint="default"/>
        <w:lang w:val="en-US" w:eastAsia="en-US" w:bidi="ar-SA"/>
      </w:rPr>
    </w:lvl>
    <w:lvl w:ilvl="2" w:tplc="E410FEAA">
      <w:numFmt w:val="bullet"/>
      <w:lvlText w:val="•"/>
      <w:lvlJc w:val="left"/>
      <w:pPr>
        <w:ind w:left="2360" w:hanging="360"/>
      </w:pPr>
      <w:rPr>
        <w:rFonts w:hint="default"/>
        <w:lang w:val="en-US" w:eastAsia="en-US" w:bidi="ar-SA"/>
      </w:rPr>
    </w:lvl>
    <w:lvl w:ilvl="3" w:tplc="6E1206BA">
      <w:numFmt w:val="bullet"/>
      <w:lvlText w:val="•"/>
      <w:lvlJc w:val="left"/>
      <w:pPr>
        <w:ind w:left="3300" w:hanging="360"/>
      </w:pPr>
      <w:rPr>
        <w:rFonts w:hint="default"/>
        <w:lang w:val="en-US" w:eastAsia="en-US" w:bidi="ar-SA"/>
      </w:rPr>
    </w:lvl>
    <w:lvl w:ilvl="4" w:tplc="5C548380">
      <w:numFmt w:val="bullet"/>
      <w:lvlText w:val="•"/>
      <w:lvlJc w:val="left"/>
      <w:pPr>
        <w:ind w:left="4240" w:hanging="360"/>
      </w:pPr>
      <w:rPr>
        <w:rFonts w:hint="default"/>
        <w:lang w:val="en-US" w:eastAsia="en-US" w:bidi="ar-SA"/>
      </w:rPr>
    </w:lvl>
    <w:lvl w:ilvl="5" w:tplc="60421B54">
      <w:numFmt w:val="bullet"/>
      <w:lvlText w:val="•"/>
      <w:lvlJc w:val="left"/>
      <w:pPr>
        <w:ind w:left="5180" w:hanging="360"/>
      </w:pPr>
      <w:rPr>
        <w:rFonts w:hint="default"/>
        <w:lang w:val="en-US" w:eastAsia="en-US" w:bidi="ar-SA"/>
      </w:rPr>
    </w:lvl>
    <w:lvl w:ilvl="6" w:tplc="C3368F0C">
      <w:numFmt w:val="bullet"/>
      <w:lvlText w:val="•"/>
      <w:lvlJc w:val="left"/>
      <w:pPr>
        <w:ind w:left="6120" w:hanging="360"/>
      </w:pPr>
      <w:rPr>
        <w:rFonts w:hint="default"/>
        <w:lang w:val="en-US" w:eastAsia="en-US" w:bidi="ar-SA"/>
      </w:rPr>
    </w:lvl>
    <w:lvl w:ilvl="7" w:tplc="424EFA5C">
      <w:numFmt w:val="bullet"/>
      <w:lvlText w:val="•"/>
      <w:lvlJc w:val="left"/>
      <w:pPr>
        <w:ind w:left="7060" w:hanging="360"/>
      </w:pPr>
      <w:rPr>
        <w:rFonts w:hint="default"/>
        <w:lang w:val="en-US" w:eastAsia="en-US" w:bidi="ar-SA"/>
      </w:rPr>
    </w:lvl>
    <w:lvl w:ilvl="8" w:tplc="1F5EDCAA">
      <w:numFmt w:val="bullet"/>
      <w:lvlText w:val="•"/>
      <w:lvlJc w:val="left"/>
      <w:pPr>
        <w:ind w:left="8000" w:hanging="360"/>
      </w:pPr>
      <w:rPr>
        <w:rFonts w:hint="default"/>
        <w:lang w:val="en-US" w:eastAsia="en-US" w:bidi="ar-SA"/>
      </w:rPr>
    </w:lvl>
  </w:abstractNum>
  <w:abstractNum w:abstractNumId="13" w15:restartNumberingAfterBreak="0">
    <w:nsid w:val="4EAF4B2A"/>
    <w:multiLevelType w:val="hybridMultilevel"/>
    <w:tmpl w:val="B900D1CC"/>
    <w:lvl w:ilvl="0" w:tplc="A54CE45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1344E"/>
    <w:multiLevelType w:val="hybridMultilevel"/>
    <w:tmpl w:val="8996D316"/>
    <w:lvl w:ilvl="0" w:tplc="A9FE1CB4">
      <w:numFmt w:val="bullet"/>
      <w:lvlText w:val=""/>
      <w:lvlJc w:val="left"/>
      <w:pPr>
        <w:ind w:left="359" w:hanging="253"/>
      </w:pPr>
      <w:rPr>
        <w:rFonts w:ascii="Symbol" w:eastAsia="Symbol" w:hAnsi="Symbol" w:cs="Symbol" w:hint="default"/>
        <w:b w:val="0"/>
        <w:bCs w:val="0"/>
        <w:i w:val="0"/>
        <w:iCs w:val="0"/>
        <w:spacing w:val="0"/>
        <w:w w:val="99"/>
        <w:sz w:val="22"/>
        <w:szCs w:val="22"/>
        <w:lang w:val="en-US" w:eastAsia="en-US" w:bidi="ar-SA"/>
      </w:rPr>
    </w:lvl>
    <w:lvl w:ilvl="1" w:tplc="6E08CAFE">
      <w:numFmt w:val="bullet"/>
      <w:lvlText w:val="•"/>
      <w:lvlJc w:val="left"/>
      <w:pPr>
        <w:ind w:left="949" w:hanging="253"/>
      </w:pPr>
      <w:rPr>
        <w:rFonts w:hint="default"/>
        <w:lang w:val="en-US" w:eastAsia="en-US" w:bidi="ar-SA"/>
      </w:rPr>
    </w:lvl>
    <w:lvl w:ilvl="2" w:tplc="1D1E669C">
      <w:numFmt w:val="bullet"/>
      <w:lvlText w:val="•"/>
      <w:lvlJc w:val="left"/>
      <w:pPr>
        <w:ind w:left="1539" w:hanging="253"/>
      </w:pPr>
      <w:rPr>
        <w:rFonts w:hint="default"/>
        <w:lang w:val="en-US" w:eastAsia="en-US" w:bidi="ar-SA"/>
      </w:rPr>
    </w:lvl>
    <w:lvl w:ilvl="3" w:tplc="F3800162">
      <w:numFmt w:val="bullet"/>
      <w:lvlText w:val="•"/>
      <w:lvlJc w:val="left"/>
      <w:pPr>
        <w:ind w:left="2129" w:hanging="253"/>
      </w:pPr>
      <w:rPr>
        <w:rFonts w:hint="default"/>
        <w:lang w:val="en-US" w:eastAsia="en-US" w:bidi="ar-SA"/>
      </w:rPr>
    </w:lvl>
    <w:lvl w:ilvl="4" w:tplc="657A87D0">
      <w:numFmt w:val="bullet"/>
      <w:lvlText w:val="•"/>
      <w:lvlJc w:val="left"/>
      <w:pPr>
        <w:ind w:left="2719" w:hanging="253"/>
      </w:pPr>
      <w:rPr>
        <w:rFonts w:hint="default"/>
        <w:lang w:val="en-US" w:eastAsia="en-US" w:bidi="ar-SA"/>
      </w:rPr>
    </w:lvl>
    <w:lvl w:ilvl="5" w:tplc="DD60354E">
      <w:numFmt w:val="bullet"/>
      <w:lvlText w:val="•"/>
      <w:lvlJc w:val="left"/>
      <w:pPr>
        <w:ind w:left="3309" w:hanging="253"/>
      </w:pPr>
      <w:rPr>
        <w:rFonts w:hint="default"/>
        <w:lang w:val="en-US" w:eastAsia="en-US" w:bidi="ar-SA"/>
      </w:rPr>
    </w:lvl>
    <w:lvl w:ilvl="6" w:tplc="7D165252">
      <w:numFmt w:val="bullet"/>
      <w:lvlText w:val="•"/>
      <w:lvlJc w:val="left"/>
      <w:pPr>
        <w:ind w:left="3899" w:hanging="253"/>
      </w:pPr>
      <w:rPr>
        <w:rFonts w:hint="default"/>
        <w:lang w:val="en-US" w:eastAsia="en-US" w:bidi="ar-SA"/>
      </w:rPr>
    </w:lvl>
    <w:lvl w:ilvl="7" w:tplc="A64094DE">
      <w:numFmt w:val="bullet"/>
      <w:lvlText w:val="•"/>
      <w:lvlJc w:val="left"/>
      <w:pPr>
        <w:ind w:left="4489" w:hanging="253"/>
      </w:pPr>
      <w:rPr>
        <w:rFonts w:hint="default"/>
        <w:lang w:val="en-US" w:eastAsia="en-US" w:bidi="ar-SA"/>
      </w:rPr>
    </w:lvl>
    <w:lvl w:ilvl="8" w:tplc="84C29EE8">
      <w:numFmt w:val="bullet"/>
      <w:lvlText w:val="•"/>
      <w:lvlJc w:val="left"/>
      <w:pPr>
        <w:ind w:left="5079" w:hanging="253"/>
      </w:pPr>
      <w:rPr>
        <w:rFonts w:hint="default"/>
        <w:lang w:val="en-US" w:eastAsia="en-US" w:bidi="ar-SA"/>
      </w:rPr>
    </w:lvl>
  </w:abstractNum>
  <w:abstractNum w:abstractNumId="15" w15:restartNumberingAfterBreak="0">
    <w:nsid w:val="500B7574"/>
    <w:multiLevelType w:val="hybridMultilevel"/>
    <w:tmpl w:val="5AA83D02"/>
    <w:lvl w:ilvl="0" w:tplc="069012A0">
      <w:start w:val="1"/>
      <w:numFmt w:val="bullet"/>
      <w:lvlText w:val=""/>
      <w:lvlJc w:val="left"/>
      <w:pPr>
        <w:tabs>
          <w:tab w:val="num" w:pos="720"/>
        </w:tabs>
        <w:ind w:left="720" w:hanging="360"/>
      </w:pPr>
      <w:rPr>
        <w:rFonts w:ascii="Wingdings" w:hAnsi="Wingdings" w:hint="default"/>
        <w:color w:val="0F4761" w:themeColor="accent1" w:themeShade="BF"/>
      </w:rPr>
    </w:lvl>
    <w:lvl w:ilvl="1" w:tplc="0DE6AFA8" w:tentative="1">
      <w:start w:val="1"/>
      <w:numFmt w:val="bullet"/>
      <w:lvlText w:val=""/>
      <w:lvlJc w:val="left"/>
      <w:pPr>
        <w:tabs>
          <w:tab w:val="num" w:pos="1440"/>
        </w:tabs>
        <w:ind w:left="1440" w:hanging="360"/>
      </w:pPr>
      <w:rPr>
        <w:rFonts w:ascii="Wingdings" w:hAnsi="Wingdings" w:hint="default"/>
      </w:rPr>
    </w:lvl>
    <w:lvl w:ilvl="2" w:tplc="566609A6" w:tentative="1">
      <w:start w:val="1"/>
      <w:numFmt w:val="bullet"/>
      <w:lvlText w:val=""/>
      <w:lvlJc w:val="left"/>
      <w:pPr>
        <w:tabs>
          <w:tab w:val="num" w:pos="2160"/>
        </w:tabs>
        <w:ind w:left="2160" w:hanging="360"/>
      </w:pPr>
      <w:rPr>
        <w:rFonts w:ascii="Wingdings" w:hAnsi="Wingdings" w:hint="default"/>
      </w:rPr>
    </w:lvl>
    <w:lvl w:ilvl="3" w:tplc="5F747F18" w:tentative="1">
      <w:start w:val="1"/>
      <w:numFmt w:val="bullet"/>
      <w:lvlText w:val=""/>
      <w:lvlJc w:val="left"/>
      <w:pPr>
        <w:tabs>
          <w:tab w:val="num" w:pos="2880"/>
        </w:tabs>
        <w:ind w:left="2880" w:hanging="360"/>
      </w:pPr>
      <w:rPr>
        <w:rFonts w:ascii="Wingdings" w:hAnsi="Wingdings" w:hint="default"/>
      </w:rPr>
    </w:lvl>
    <w:lvl w:ilvl="4" w:tplc="38DCC4D2" w:tentative="1">
      <w:start w:val="1"/>
      <w:numFmt w:val="bullet"/>
      <w:lvlText w:val=""/>
      <w:lvlJc w:val="left"/>
      <w:pPr>
        <w:tabs>
          <w:tab w:val="num" w:pos="3600"/>
        </w:tabs>
        <w:ind w:left="3600" w:hanging="360"/>
      </w:pPr>
      <w:rPr>
        <w:rFonts w:ascii="Wingdings" w:hAnsi="Wingdings" w:hint="default"/>
      </w:rPr>
    </w:lvl>
    <w:lvl w:ilvl="5" w:tplc="36C21990" w:tentative="1">
      <w:start w:val="1"/>
      <w:numFmt w:val="bullet"/>
      <w:lvlText w:val=""/>
      <w:lvlJc w:val="left"/>
      <w:pPr>
        <w:tabs>
          <w:tab w:val="num" w:pos="4320"/>
        </w:tabs>
        <w:ind w:left="4320" w:hanging="360"/>
      </w:pPr>
      <w:rPr>
        <w:rFonts w:ascii="Wingdings" w:hAnsi="Wingdings" w:hint="default"/>
      </w:rPr>
    </w:lvl>
    <w:lvl w:ilvl="6" w:tplc="0AF26BA8" w:tentative="1">
      <w:start w:val="1"/>
      <w:numFmt w:val="bullet"/>
      <w:lvlText w:val=""/>
      <w:lvlJc w:val="left"/>
      <w:pPr>
        <w:tabs>
          <w:tab w:val="num" w:pos="5040"/>
        </w:tabs>
        <w:ind w:left="5040" w:hanging="360"/>
      </w:pPr>
      <w:rPr>
        <w:rFonts w:ascii="Wingdings" w:hAnsi="Wingdings" w:hint="default"/>
      </w:rPr>
    </w:lvl>
    <w:lvl w:ilvl="7" w:tplc="64AEED0C" w:tentative="1">
      <w:start w:val="1"/>
      <w:numFmt w:val="bullet"/>
      <w:lvlText w:val=""/>
      <w:lvlJc w:val="left"/>
      <w:pPr>
        <w:tabs>
          <w:tab w:val="num" w:pos="5760"/>
        </w:tabs>
        <w:ind w:left="5760" w:hanging="360"/>
      </w:pPr>
      <w:rPr>
        <w:rFonts w:ascii="Wingdings" w:hAnsi="Wingdings" w:hint="default"/>
      </w:rPr>
    </w:lvl>
    <w:lvl w:ilvl="8" w:tplc="6F4C37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1F2DCA"/>
    <w:multiLevelType w:val="hybridMultilevel"/>
    <w:tmpl w:val="BA6AF862"/>
    <w:lvl w:ilvl="0" w:tplc="63345B6C">
      <w:numFmt w:val="bullet"/>
      <w:lvlText w:val=""/>
      <w:lvlJc w:val="left"/>
      <w:pPr>
        <w:ind w:left="359" w:hanging="253"/>
      </w:pPr>
      <w:rPr>
        <w:rFonts w:ascii="Symbol" w:eastAsia="Symbol" w:hAnsi="Symbol" w:cs="Symbol" w:hint="default"/>
        <w:spacing w:val="0"/>
        <w:w w:val="99"/>
        <w:lang w:val="en-US" w:eastAsia="en-US" w:bidi="ar-SA"/>
      </w:rPr>
    </w:lvl>
    <w:lvl w:ilvl="1" w:tplc="CA40774A">
      <w:numFmt w:val="bullet"/>
      <w:lvlText w:val="•"/>
      <w:lvlJc w:val="left"/>
      <w:pPr>
        <w:ind w:left="949" w:hanging="253"/>
      </w:pPr>
      <w:rPr>
        <w:rFonts w:hint="default"/>
        <w:lang w:val="en-US" w:eastAsia="en-US" w:bidi="ar-SA"/>
      </w:rPr>
    </w:lvl>
    <w:lvl w:ilvl="2" w:tplc="C91E018E">
      <w:numFmt w:val="bullet"/>
      <w:lvlText w:val="•"/>
      <w:lvlJc w:val="left"/>
      <w:pPr>
        <w:ind w:left="1539" w:hanging="253"/>
      </w:pPr>
      <w:rPr>
        <w:rFonts w:hint="default"/>
        <w:lang w:val="en-US" w:eastAsia="en-US" w:bidi="ar-SA"/>
      </w:rPr>
    </w:lvl>
    <w:lvl w:ilvl="3" w:tplc="14A09452">
      <w:numFmt w:val="bullet"/>
      <w:lvlText w:val="•"/>
      <w:lvlJc w:val="left"/>
      <w:pPr>
        <w:ind w:left="2129" w:hanging="253"/>
      </w:pPr>
      <w:rPr>
        <w:rFonts w:hint="default"/>
        <w:lang w:val="en-US" w:eastAsia="en-US" w:bidi="ar-SA"/>
      </w:rPr>
    </w:lvl>
    <w:lvl w:ilvl="4" w:tplc="9342B95A">
      <w:numFmt w:val="bullet"/>
      <w:lvlText w:val="•"/>
      <w:lvlJc w:val="left"/>
      <w:pPr>
        <w:ind w:left="2719" w:hanging="253"/>
      </w:pPr>
      <w:rPr>
        <w:rFonts w:hint="default"/>
        <w:lang w:val="en-US" w:eastAsia="en-US" w:bidi="ar-SA"/>
      </w:rPr>
    </w:lvl>
    <w:lvl w:ilvl="5" w:tplc="3FDA0A52">
      <w:numFmt w:val="bullet"/>
      <w:lvlText w:val="•"/>
      <w:lvlJc w:val="left"/>
      <w:pPr>
        <w:ind w:left="3309" w:hanging="253"/>
      </w:pPr>
      <w:rPr>
        <w:rFonts w:hint="default"/>
        <w:lang w:val="en-US" w:eastAsia="en-US" w:bidi="ar-SA"/>
      </w:rPr>
    </w:lvl>
    <w:lvl w:ilvl="6" w:tplc="29226B5E">
      <w:numFmt w:val="bullet"/>
      <w:lvlText w:val="•"/>
      <w:lvlJc w:val="left"/>
      <w:pPr>
        <w:ind w:left="3899" w:hanging="253"/>
      </w:pPr>
      <w:rPr>
        <w:rFonts w:hint="default"/>
        <w:lang w:val="en-US" w:eastAsia="en-US" w:bidi="ar-SA"/>
      </w:rPr>
    </w:lvl>
    <w:lvl w:ilvl="7" w:tplc="6D04CD0A">
      <w:numFmt w:val="bullet"/>
      <w:lvlText w:val="•"/>
      <w:lvlJc w:val="left"/>
      <w:pPr>
        <w:ind w:left="4489" w:hanging="253"/>
      </w:pPr>
      <w:rPr>
        <w:rFonts w:hint="default"/>
        <w:lang w:val="en-US" w:eastAsia="en-US" w:bidi="ar-SA"/>
      </w:rPr>
    </w:lvl>
    <w:lvl w:ilvl="8" w:tplc="88C8CD40">
      <w:numFmt w:val="bullet"/>
      <w:lvlText w:val="•"/>
      <w:lvlJc w:val="left"/>
      <w:pPr>
        <w:ind w:left="5079" w:hanging="253"/>
      </w:pPr>
      <w:rPr>
        <w:rFonts w:hint="default"/>
        <w:lang w:val="en-US" w:eastAsia="en-US" w:bidi="ar-SA"/>
      </w:rPr>
    </w:lvl>
  </w:abstractNum>
  <w:abstractNum w:abstractNumId="18" w15:restartNumberingAfterBreak="0">
    <w:nsid w:val="53133BB0"/>
    <w:multiLevelType w:val="hybridMultilevel"/>
    <w:tmpl w:val="5B68FABA"/>
    <w:lvl w:ilvl="0" w:tplc="FFFFFFFF">
      <w:start w:val="1"/>
      <w:numFmt w:val="decimal"/>
      <w:lvlText w:val="%1."/>
      <w:lvlJc w:val="left"/>
      <w:pPr>
        <w:ind w:left="476" w:hanging="360"/>
        <w:jc w:val="left"/>
      </w:pPr>
      <w:rPr>
        <w:rFonts w:ascii="Arial" w:eastAsia="Arial" w:hAnsi="Arial" w:cs="Arial" w:hint="default"/>
        <w:b w:val="0"/>
        <w:bCs w:val="0"/>
        <w:i w:val="0"/>
        <w:iCs w:val="0"/>
        <w:spacing w:val="0"/>
        <w:w w:val="99"/>
        <w:sz w:val="24"/>
        <w:szCs w:val="24"/>
        <w:lang w:val="en-US" w:eastAsia="en-US" w:bidi="ar-SA"/>
      </w:rPr>
    </w:lvl>
    <w:lvl w:ilvl="1" w:tplc="FFFFFFFF">
      <w:numFmt w:val="bullet"/>
      <w:lvlText w:val="•"/>
      <w:lvlJc w:val="left"/>
      <w:pPr>
        <w:ind w:left="1420" w:hanging="360"/>
      </w:pPr>
      <w:rPr>
        <w:rFonts w:hint="default"/>
        <w:lang w:val="en-US" w:eastAsia="en-US" w:bidi="ar-SA"/>
      </w:rPr>
    </w:lvl>
    <w:lvl w:ilvl="2" w:tplc="FFFFFFFF">
      <w:numFmt w:val="bullet"/>
      <w:lvlText w:val="•"/>
      <w:lvlJc w:val="left"/>
      <w:pPr>
        <w:ind w:left="2360" w:hanging="360"/>
      </w:pPr>
      <w:rPr>
        <w:rFonts w:hint="default"/>
        <w:lang w:val="en-US" w:eastAsia="en-US" w:bidi="ar-SA"/>
      </w:rPr>
    </w:lvl>
    <w:lvl w:ilvl="3" w:tplc="FFFFFFFF">
      <w:numFmt w:val="bullet"/>
      <w:lvlText w:val="•"/>
      <w:lvlJc w:val="left"/>
      <w:pPr>
        <w:ind w:left="3300" w:hanging="360"/>
      </w:pPr>
      <w:rPr>
        <w:rFonts w:hint="default"/>
        <w:lang w:val="en-US" w:eastAsia="en-US" w:bidi="ar-SA"/>
      </w:rPr>
    </w:lvl>
    <w:lvl w:ilvl="4" w:tplc="FFFFFFFF">
      <w:numFmt w:val="bullet"/>
      <w:lvlText w:val="•"/>
      <w:lvlJc w:val="left"/>
      <w:pPr>
        <w:ind w:left="4240" w:hanging="360"/>
      </w:pPr>
      <w:rPr>
        <w:rFonts w:hint="default"/>
        <w:lang w:val="en-US" w:eastAsia="en-US" w:bidi="ar-SA"/>
      </w:rPr>
    </w:lvl>
    <w:lvl w:ilvl="5" w:tplc="FFFFFFFF">
      <w:numFmt w:val="bullet"/>
      <w:lvlText w:val="•"/>
      <w:lvlJc w:val="left"/>
      <w:pPr>
        <w:ind w:left="518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60" w:hanging="360"/>
      </w:pPr>
      <w:rPr>
        <w:rFonts w:hint="default"/>
        <w:lang w:val="en-US" w:eastAsia="en-US" w:bidi="ar-SA"/>
      </w:rPr>
    </w:lvl>
    <w:lvl w:ilvl="8" w:tplc="FFFFFFFF">
      <w:numFmt w:val="bullet"/>
      <w:lvlText w:val="•"/>
      <w:lvlJc w:val="left"/>
      <w:pPr>
        <w:ind w:left="8000" w:hanging="360"/>
      </w:pPr>
      <w:rPr>
        <w:rFonts w:hint="default"/>
        <w:lang w:val="en-US" w:eastAsia="en-US" w:bidi="ar-SA"/>
      </w:rPr>
    </w:lvl>
  </w:abstractNum>
  <w:abstractNum w:abstractNumId="19"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FF3176"/>
    <w:multiLevelType w:val="hybridMultilevel"/>
    <w:tmpl w:val="53FA2D6C"/>
    <w:lvl w:ilvl="0" w:tplc="AF58443E">
      <w:numFmt w:val="bullet"/>
      <w:lvlText w:val="•"/>
      <w:lvlJc w:val="left"/>
      <w:pPr>
        <w:ind w:left="720" w:hanging="360"/>
      </w:pPr>
      <w:rPr>
        <w:rFonts w:hint="default"/>
        <w:color w:val="000000" w:themeColor="text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6687C"/>
    <w:multiLevelType w:val="hybridMultilevel"/>
    <w:tmpl w:val="28709306"/>
    <w:lvl w:ilvl="0" w:tplc="04090001">
      <w:start w:val="1"/>
      <w:numFmt w:val="bullet"/>
      <w:lvlText w:val=""/>
      <w:lvlJc w:val="left"/>
      <w:pPr>
        <w:ind w:left="720" w:hanging="360"/>
      </w:pPr>
      <w:rPr>
        <w:rFonts w:ascii="Symbol" w:hAnsi="Symbol" w:hint="default"/>
        <w:color w:val="000000" w:themeColor="text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23"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7418BB"/>
    <w:multiLevelType w:val="hybridMultilevel"/>
    <w:tmpl w:val="02327F2E"/>
    <w:lvl w:ilvl="0" w:tplc="A54CE454">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2A047C"/>
    <w:multiLevelType w:val="hybridMultilevel"/>
    <w:tmpl w:val="935CA1A8"/>
    <w:lvl w:ilvl="0" w:tplc="F07E99D4">
      <w:start w:val="1"/>
      <w:numFmt w:val="lowerLetter"/>
      <w:lvlText w:val="%1."/>
      <w:lvlJc w:val="left"/>
      <w:pPr>
        <w:ind w:left="1620" w:hanging="360"/>
      </w:pPr>
      <w:rPr>
        <w:rFonts w:hint="default"/>
        <w:b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7EA55C0A"/>
    <w:multiLevelType w:val="hybridMultilevel"/>
    <w:tmpl w:val="980A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017783">
    <w:abstractNumId w:val="16"/>
  </w:num>
  <w:num w:numId="2" w16cid:durableId="776632357">
    <w:abstractNumId w:val="26"/>
  </w:num>
  <w:num w:numId="3" w16cid:durableId="13769947">
    <w:abstractNumId w:val="6"/>
  </w:num>
  <w:num w:numId="4" w16cid:durableId="998381863">
    <w:abstractNumId w:val="10"/>
  </w:num>
  <w:num w:numId="5" w16cid:durableId="360857462">
    <w:abstractNumId w:val="3"/>
  </w:num>
  <w:num w:numId="6" w16cid:durableId="1579559424">
    <w:abstractNumId w:val="23"/>
  </w:num>
  <w:num w:numId="7" w16cid:durableId="81535402">
    <w:abstractNumId w:val="11"/>
  </w:num>
  <w:num w:numId="8" w16cid:durableId="1050811509">
    <w:abstractNumId w:val="19"/>
  </w:num>
  <w:num w:numId="9" w16cid:durableId="1706057433">
    <w:abstractNumId w:val="2"/>
  </w:num>
  <w:num w:numId="10" w16cid:durableId="125508737">
    <w:abstractNumId w:val="22"/>
  </w:num>
  <w:num w:numId="11" w16cid:durableId="628514441">
    <w:abstractNumId w:val="24"/>
  </w:num>
  <w:num w:numId="12" w16cid:durableId="306865956">
    <w:abstractNumId w:val="9"/>
  </w:num>
  <w:num w:numId="13" w16cid:durableId="385951500">
    <w:abstractNumId w:val="5"/>
  </w:num>
  <w:num w:numId="14" w16cid:durableId="460272745">
    <w:abstractNumId w:val="1"/>
  </w:num>
  <w:num w:numId="15" w16cid:durableId="786847740">
    <w:abstractNumId w:val="0"/>
  </w:num>
  <w:num w:numId="16" w16cid:durableId="1899705617">
    <w:abstractNumId w:val="4"/>
  </w:num>
  <w:num w:numId="17" w16cid:durableId="1473448205">
    <w:abstractNumId w:val="7"/>
  </w:num>
  <w:num w:numId="18" w16cid:durableId="1916744233">
    <w:abstractNumId w:val="14"/>
  </w:num>
  <w:num w:numId="19" w16cid:durableId="1881940541">
    <w:abstractNumId w:val="17"/>
  </w:num>
  <w:num w:numId="20" w16cid:durableId="673530859">
    <w:abstractNumId w:val="12"/>
  </w:num>
  <w:num w:numId="21" w16cid:durableId="199586995">
    <w:abstractNumId w:val="18"/>
  </w:num>
  <w:num w:numId="22" w16cid:durableId="94717892">
    <w:abstractNumId w:val="15"/>
  </w:num>
  <w:num w:numId="23" w16cid:durableId="499740630">
    <w:abstractNumId w:val="8"/>
  </w:num>
  <w:num w:numId="24" w16cid:durableId="1719428038">
    <w:abstractNumId w:val="25"/>
  </w:num>
  <w:num w:numId="25" w16cid:durableId="58600682">
    <w:abstractNumId w:val="27"/>
  </w:num>
  <w:num w:numId="26" w16cid:durableId="694889406">
    <w:abstractNumId w:val="13"/>
  </w:num>
  <w:num w:numId="27" w16cid:durableId="582028046">
    <w:abstractNumId w:val="20"/>
  </w:num>
  <w:num w:numId="28" w16cid:durableId="990670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655CF"/>
    <w:rsid w:val="00080016"/>
    <w:rsid w:val="000A538F"/>
    <w:rsid w:val="000A7FE8"/>
    <w:rsid w:val="00104A5D"/>
    <w:rsid w:val="00122EEB"/>
    <w:rsid w:val="00127F86"/>
    <w:rsid w:val="00137D8D"/>
    <w:rsid w:val="00142465"/>
    <w:rsid w:val="00157E31"/>
    <w:rsid w:val="001741EC"/>
    <w:rsid w:val="001942A1"/>
    <w:rsid w:val="001B3424"/>
    <w:rsid w:val="001C007B"/>
    <w:rsid w:val="001C6A84"/>
    <w:rsid w:val="001C7C79"/>
    <w:rsid w:val="001D0524"/>
    <w:rsid w:val="001D6E12"/>
    <w:rsid w:val="001D7DAF"/>
    <w:rsid w:val="0024700F"/>
    <w:rsid w:val="0025217C"/>
    <w:rsid w:val="002F2489"/>
    <w:rsid w:val="00326BCC"/>
    <w:rsid w:val="00330CAB"/>
    <w:rsid w:val="00331E4D"/>
    <w:rsid w:val="0033627B"/>
    <w:rsid w:val="00365229"/>
    <w:rsid w:val="0036774F"/>
    <w:rsid w:val="003677D6"/>
    <w:rsid w:val="0038098B"/>
    <w:rsid w:val="003B2FB6"/>
    <w:rsid w:val="00403230"/>
    <w:rsid w:val="00414014"/>
    <w:rsid w:val="004A73D1"/>
    <w:rsid w:val="004A7830"/>
    <w:rsid w:val="004B2FE4"/>
    <w:rsid w:val="004C2C53"/>
    <w:rsid w:val="004E0B57"/>
    <w:rsid w:val="004F15D7"/>
    <w:rsid w:val="004F522C"/>
    <w:rsid w:val="00507BD4"/>
    <w:rsid w:val="0052057B"/>
    <w:rsid w:val="005326CB"/>
    <w:rsid w:val="0053768D"/>
    <w:rsid w:val="0055472A"/>
    <w:rsid w:val="0058680F"/>
    <w:rsid w:val="0059662B"/>
    <w:rsid w:val="00603161"/>
    <w:rsid w:val="006330FC"/>
    <w:rsid w:val="00633AF9"/>
    <w:rsid w:val="00667628"/>
    <w:rsid w:val="00670667"/>
    <w:rsid w:val="006A1694"/>
    <w:rsid w:val="006A7945"/>
    <w:rsid w:val="006B525A"/>
    <w:rsid w:val="006E0210"/>
    <w:rsid w:val="006E247E"/>
    <w:rsid w:val="006F0B14"/>
    <w:rsid w:val="006F39FC"/>
    <w:rsid w:val="00750D9B"/>
    <w:rsid w:val="007526A1"/>
    <w:rsid w:val="0077189B"/>
    <w:rsid w:val="007779EC"/>
    <w:rsid w:val="00797A0A"/>
    <w:rsid w:val="007B5C7D"/>
    <w:rsid w:val="007E5C32"/>
    <w:rsid w:val="008226B7"/>
    <w:rsid w:val="00823FB2"/>
    <w:rsid w:val="00835171"/>
    <w:rsid w:val="00843DEC"/>
    <w:rsid w:val="008926C5"/>
    <w:rsid w:val="008A288D"/>
    <w:rsid w:val="008B3ECA"/>
    <w:rsid w:val="00906FE5"/>
    <w:rsid w:val="00965EB4"/>
    <w:rsid w:val="00974F6D"/>
    <w:rsid w:val="009B33D4"/>
    <w:rsid w:val="009B5227"/>
    <w:rsid w:val="00A07A41"/>
    <w:rsid w:val="00A11599"/>
    <w:rsid w:val="00A34CB8"/>
    <w:rsid w:val="00A45FF8"/>
    <w:rsid w:val="00A57CA1"/>
    <w:rsid w:val="00A74379"/>
    <w:rsid w:val="00AB5B5B"/>
    <w:rsid w:val="00AD2A88"/>
    <w:rsid w:val="00AD6249"/>
    <w:rsid w:val="00AE4BF8"/>
    <w:rsid w:val="00B05315"/>
    <w:rsid w:val="00B1665D"/>
    <w:rsid w:val="00B47881"/>
    <w:rsid w:val="00B603B1"/>
    <w:rsid w:val="00B84EAC"/>
    <w:rsid w:val="00B87783"/>
    <w:rsid w:val="00BA22E3"/>
    <w:rsid w:val="00BB544F"/>
    <w:rsid w:val="00C06583"/>
    <w:rsid w:val="00C14193"/>
    <w:rsid w:val="00C20566"/>
    <w:rsid w:val="00C64F61"/>
    <w:rsid w:val="00C74544"/>
    <w:rsid w:val="00C97BF0"/>
    <w:rsid w:val="00CE5D64"/>
    <w:rsid w:val="00D10E92"/>
    <w:rsid w:val="00D41EC8"/>
    <w:rsid w:val="00DA2B9D"/>
    <w:rsid w:val="00DE4408"/>
    <w:rsid w:val="00E11927"/>
    <w:rsid w:val="00E36719"/>
    <w:rsid w:val="00E6752C"/>
    <w:rsid w:val="00E74F02"/>
    <w:rsid w:val="00ED533D"/>
    <w:rsid w:val="00EE3446"/>
    <w:rsid w:val="00EE5AF7"/>
    <w:rsid w:val="00EF548D"/>
    <w:rsid w:val="00EF6985"/>
    <w:rsid w:val="00F5514F"/>
    <w:rsid w:val="00F666FE"/>
    <w:rsid w:val="00F76CCC"/>
    <w:rsid w:val="00F83D49"/>
    <w:rsid w:val="00FC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paragraph" w:styleId="Heading1">
    <w:name w:val="heading 1"/>
    <w:basedOn w:val="Normal"/>
    <w:link w:val="Heading1Char"/>
    <w:uiPriority w:val="9"/>
    <w:qFormat/>
    <w:rsid w:val="00D10E92"/>
    <w:pPr>
      <w:widowControl w:val="0"/>
      <w:autoSpaceDE w:val="0"/>
      <w:autoSpaceDN w:val="0"/>
      <w:spacing w:after="0" w:line="240" w:lineRule="auto"/>
      <w:ind w:left="115"/>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 w:type="character" w:customStyle="1" w:styleId="Heading1Char">
    <w:name w:val="Heading 1 Char"/>
    <w:basedOn w:val="DefaultParagraphFont"/>
    <w:link w:val="Heading1"/>
    <w:uiPriority w:val="9"/>
    <w:rsid w:val="00D10E92"/>
    <w:rPr>
      <w:rFonts w:ascii="Arial" w:eastAsia="Arial" w:hAnsi="Arial" w:cs="Arial"/>
      <w:b/>
      <w:bCs/>
      <w:sz w:val="22"/>
      <w:szCs w:val="22"/>
      <w:u w:val="single" w:color="000000"/>
      <w:lang w:eastAsia="en-US"/>
    </w:rPr>
  </w:style>
  <w:style w:type="paragraph" w:styleId="BodyText">
    <w:name w:val="Body Text"/>
    <w:basedOn w:val="Normal"/>
    <w:link w:val="BodyTextChar"/>
    <w:uiPriority w:val="1"/>
    <w:qFormat/>
    <w:rsid w:val="00D10E9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10E92"/>
    <w:rPr>
      <w:rFonts w:ascii="Arial" w:eastAsia="Arial" w:hAnsi="Arial" w:cs="Arial"/>
      <w:sz w:val="22"/>
      <w:szCs w:val="22"/>
      <w:lang w:eastAsia="en-US"/>
    </w:rPr>
  </w:style>
  <w:style w:type="paragraph" w:customStyle="1" w:styleId="TableParagraph">
    <w:name w:val="Table Paragraph"/>
    <w:basedOn w:val="Normal"/>
    <w:uiPriority w:val="1"/>
    <w:qFormat/>
    <w:rsid w:val="00D10E92"/>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25217C"/>
    <w:rPr>
      <w:color w:val="467886" w:themeColor="hyperlink"/>
      <w:u w:val="single"/>
    </w:rPr>
  </w:style>
  <w:style w:type="character" w:styleId="UnresolvedMention">
    <w:name w:val="Unresolved Mention"/>
    <w:basedOn w:val="DefaultParagraphFont"/>
    <w:uiPriority w:val="99"/>
    <w:semiHidden/>
    <w:unhideWhenUsed/>
    <w:rsid w:val="006E0210"/>
    <w:rPr>
      <w:color w:val="605E5C"/>
      <w:shd w:val="clear" w:color="auto" w:fill="E1DFDD"/>
    </w:rPr>
  </w:style>
  <w:style w:type="character" w:styleId="FollowedHyperlink">
    <w:name w:val="FollowedHyperlink"/>
    <w:basedOn w:val="DefaultParagraphFont"/>
    <w:uiPriority w:val="99"/>
    <w:semiHidden/>
    <w:unhideWhenUsed/>
    <w:rsid w:val="005205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as.ga.gov/state-purchasing/seven-stages-of-procurement/stage-6-award-proces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sl.doas.state.ga.us/gpr/" TargetMode="External"/><Relationship Id="rId2" Type="http://schemas.openxmlformats.org/officeDocument/2006/relationships/customXml" Target="../customXml/item2.xml"/><Relationship Id="rId16" Type="http://schemas.openxmlformats.org/officeDocument/2006/relationships/hyperlink" Target="https://app01.jaggaer.com/apps/Router/SupplierLogin?CustOrg=Georg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help@doas.g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as.ga.gov/state-purchasing/suppli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2.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3.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4.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5.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6</cp:revision>
  <cp:lastPrinted>2026-07-01T13:30:00Z</cp:lastPrinted>
  <dcterms:created xsi:type="dcterms:W3CDTF">2026-07-01T21:07:00Z</dcterms:created>
  <dcterms:modified xsi:type="dcterms:W3CDTF">2026-07-02T19:36:00Z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