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69AB1" w14:textId="77777777" w:rsidR="00F46DA2" w:rsidRDefault="00F46DA2">
      <w:pPr>
        <w:pStyle w:val="BodyText"/>
        <w:rPr>
          <w:rFonts w:ascii="Times New Roman"/>
          <w:sz w:val="20"/>
        </w:rPr>
      </w:pPr>
    </w:p>
    <w:p w14:paraId="458950DE" w14:textId="77777777" w:rsidR="00F46DA2" w:rsidRDefault="00F46DA2">
      <w:pPr>
        <w:pStyle w:val="BodyText"/>
        <w:rPr>
          <w:rFonts w:ascii="Times New Roman"/>
          <w:sz w:val="20"/>
        </w:rPr>
      </w:pPr>
    </w:p>
    <w:p w14:paraId="3FF022F3" w14:textId="77777777" w:rsidR="00F46DA2" w:rsidRDefault="00F46DA2">
      <w:pPr>
        <w:pStyle w:val="BodyText"/>
        <w:rPr>
          <w:rFonts w:ascii="Times New Roman"/>
          <w:sz w:val="20"/>
        </w:rPr>
      </w:pPr>
    </w:p>
    <w:p w14:paraId="7A7996FF" w14:textId="77777777" w:rsidR="00F46DA2" w:rsidRDefault="00F46DA2">
      <w:pPr>
        <w:pStyle w:val="BodyText"/>
        <w:rPr>
          <w:rFonts w:ascii="Times New Roman"/>
          <w:sz w:val="20"/>
        </w:rPr>
      </w:pPr>
    </w:p>
    <w:p w14:paraId="25A2A2DC" w14:textId="77777777" w:rsidR="00F46DA2" w:rsidRDefault="00F46DA2">
      <w:pPr>
        <w:rPr>
          <w:rFonts w:ascii="Times New Roman"/>
          <w:sz w:val="20"/>
        </w:rPr>
        <w:sectPr w:rsidR="00F46DA2" w:rsidSect="00A7383D">
          <w:type w:val="continuous"/>
          <w:pgSz w:w="12240" w:h="15840"/>
          <w:pgMar w:top="500" w:right="440" w:bottom="280" w:left="320" w:header="720" w:footer="720" w:gutter="0"/>
          <w:cols w:space="720"/>
        </w:sectPr>
      </w:pPr>
    </w:p>
    <w:p w14:paraId="6B4E8CE3" w14:textId="77777777" w:rsidR="00F46DA2" w:rsidRDefault="00F46DA2">
      <w:pPr>
        <w:pStyle w:val="BodyText"/>
        <w:spacing w:before="3"/>
        <w:rPr>
          <w:rFonts w:ascii="Times New Roman"/>
          <w:sz w:val="16"/>
        </w:rPr>
      </w:pPr>
    </w:p>
    <w:p w14:paraId="3F7FDECB" w14:textId="77777777" w:rsidR="00F46DA2" w:rsidRDefault="004C3325">
      <w:pPr>
        <w:spacing w:line="195" w:lineRule="exact"/>
        <w:ind w:left="198"/>
        <w:rPr>
          <w:rFonts w:ascii="Calibri"/>
          <w:b/>
          <w:sz w:val="16"/>
        </w:rPr>
      </w:pPr>
      <w:r>
        <w:rPr>
          <w:rFonts w:ascii="Calibri"/>
          <w:b/>
          <w:color w:val="7C6F60"/>
          <w:sz w:val="16"/>
        </w:rPr>
        <w:t>Brian P. Kemp</w:t>
      </w:r>
    </w:p>
    <w:p w14:paraId="2792F52E" w14:textId="77777777" w:rsidR="00F46DA2" w:rsidRDefault="004C3325">
      <w:pPr>
        <w:spacing w:line="195" w:lineRule="exact"/>
        <w:ind w:left="198"/>
        <w:rPr>
          <w:rFonts w:ascii="Calibri"/>
          <w:sz w:val="16"/>
        </w:rPr>
      </w:pPr>
      <w:r>
        <w:rPr>
          <w:rFonts w:ascii="Calibri"/>
          <w:color w:val="7C6F60"/>
          <w:sz w:val="16"/>
        </w:rPr>
        <w:t>Governor</w:t>
      </w:r>
    </w:p>
    <w:p w14:paraId="4BD49A9C" w14:textId="1A86BF12" w:rsidR="00F46DA2" w:rsidRDefault="0066359E">
      <w:pPr>
        <w:pStyle w:val="BodyText"/>
        <w:spacing w:before="4"/>
        <w:rPr>
          <w:rFonts w:ascii="Calibri"/>
          <w:sz w:val="15"/>
        </w:rPr>
      </w:pPr>
      <w:r>
        <w:rPr>
          <w:rFonts w:ascii="Calibri"/>
          <w:noProof/>
          <w:sz w:val="2"/>
        </w:rPr>
        <mc:AlternateContent>
          <mc:Choice Requires="wpg">
            <w:drawing>
              <wp:anchor distT="0" distB="0" distL="114300" distR="114300" simplePos="0" relativeHeight="251662336" behindDoc="0" locked="0" layoutInCell="1" allowOverlap="1" wp14:anchorId="45651884" wp14:editId="6D5999CD">
                <wp:simplePos x="0" y="0"/>
                <wp:positionH relativeFrom="margin">
                  <wp:align>right</wp:align>
                </wp:positionH>
                <wp:positionV relativeFrom="paragraph">
                  <wp:posOffset>7620</wp:posOffset>
                </wp:positionV>
                <wp:extent cx="7216140" cy="213360"/>
                <wp:effectExtent l="0" t="0" r="0" b="0"/>
                <wp:wrapTopAndBottom/>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6140" cy="213360"/>
                          <a:chOff x="0" y="0"/>
                          <a:chExt cx="11292" cy="10"/>
                        </a:xfrm>
                      </wpg:grpSpPr>
                      <wps:wsp>
                        <wps:cNvPr id="12" name="Line 11"/>
                        <wps:cNvCnPr>
                          <a:cxnSpLocks noChangeShapeType="1"/>
                        </wps:cNvCnPr>
                        <wps:spPr bwMode="auto">
                          <a:xfrm>
                            <a:off x="0" y="5"/>
                            <a:ext cx="1129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60237B" id="Group 10" o:spid="_x0000_s1026" style="position:absolute;margin-left:517pt;margin-top:.6pt;width:568.2pt;height:16.8pt;z-index:251662336;mso-position-horizontal:right;mso-position-horizontal-relative:margin" coordsize="112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">
                <v:line id="Line 11" o:spid="_x0000_s1027" style="position:absolute;visibility:visible;mso-wrap-style:square" from="0,5" to="112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w10:wrap type="topAndBottom" anchorx="margin"/>
              </v:group>
            </w:pict>
          </mc:Fallback>
        </mc:AlternateContent>
      </w:r>
      <w:r w:rsidR="004C3325">
        <w:br w:type="column"/>
      </w:r>
    </w:p>
    <w:p w14:paraId="363C35A7" w14:textId="06A0769F" w:rsidR="00F46DA2" w:rsidRDefault="00C27110">
      <w:pPr>
        <w:spacing w:line="195" w:lineRule="exact"/>
        <w:ind w:left="4714"/>
        <w:rPr>
          <w:rFonts w:ascii="Calibri"/>
          <w:b/>
          <w:sz w:val="16"/>
        </w:rPr>
      </w:pPr>
      <w:r w:rsidRPr="00C27110">
        <w:rPr>
          <w:rFonts w:ascii="Calibri"/>
          <w:b/>
          <w:color w:val="808080" w:themeColor="background1" w:themeShade="80"/>
          <w:sz w:val="16"/>
        </w:rPr>
        <w:t>Rebecca N. Sullivan</w:t>
      </w:r>
    </w:p>
    <w:p w14:paraId="3EE31F7C" w14:textId="77777777" w:rsidR="00F46DA2" w:rsidRDefault="004C3325">
      <w:pPr>
        <w:spacing w:line="195" w:lineRule="exact"/>
        <w:ind w:left="4714"/>
        <w:rPr>
          <w:rFonts w:ascii="Calibri"/>
          <w:sz w:val="16"/>
        </w:rPr>
      </w:pPr>
      <w:r>
        <w:rPr>
          <w:noProof/>
        </w:rPr>
        <w:drawing>
          <wp:anchor distT="0" distB="0" distL="0" distR="0" simplePos="0" relativeHeight="251659264" behindDoc="0" locked="0" layoutInCell="1" allowOverlap="1" wp14:anchorId="4E245D35" wp14:editId="641894EA">
            <wp:simplePos x="0" y="0"/>
            <wp:positionH relativeFrom="page">
              <wp:posOffset>3256915</wp:posOffset>
            </wp:positionH>
            <wp:positionV relativeFrom="paragraph">
              <wp:posOffset>-826206</wp:posOffset>
            </wp:positionV>
            <wp:extent cx="870585" cy="8794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70585" cy="879475"/>
                    </a:xfrm>
                    <a:prstGeom prst="rect">
                      <a:avLst/>
                    </a:prstGeom>
                  </pic:spPr>
                </pic:pic>
              </a:graphicData>
            </a:graphic>
          </wp:anchor>
        </w:drawing>
      </w:r>
      <w:r>
        <w:rPr>
          <w:rFonts w:ascii="Calibri"/>
          <w:color w:val="7C6F60"/>
          <w:sz w:val="16"/>
        </w:rPr>
        <w:t>Commissioner</w:t>
      </w:r>
    </w:p>
    <w:p w14:paraId="2A3BAD64" w14:textId="77777777" w:rsidR="00F46DA2" w:rsidRDefault="00F46DA2">
      <w:pPr>
        <w:spacing w:line="195" w:lineRule="exact"/>
        <w:rPr>
          <w:rFonts w:ascii="Calibri"/>
          <w:sz w:val="16"/>
        </w:rPr>
        <w:sectPr w:rsidR="00F46DA2" w:rsidSect="00A7383D">
          <w:type w:val="continuous"/>
          <w:pgSz w:w="12240" w:h="15840"/>
          <w:pgMar w:top="500" w:right="440" w:bottom="280" w:left="320" w:header="720" w:footer="720" w:gutter="0"/>
          <w:cols w:num="2" w:space="720" w:equalWidth="0">
            <w:col w:w="1177" w:space="3434"/>
            <w:col w:w="6869"/>
          </w:cols>
        </w:sectPr>
      </w:pPr>
    </w:p>
    <w:p w14:paraId="4E77AAE5" w14:textId="579216EF" w:rsidR="00F46DA2" w:rsidRDefault="00F46DA2">
      <w:pPr>
        <w:pStyle w:val="BodyText"/>
        <w:spacing w:line="20" w:lineRule="exact"/>
        <w:ind w:left="78"/>
        <w:rPr>
          <w:rFonts w:ascii="Calibri"/>
          <w:sz w:val="2"/>
        </w:rPr>
      </w:pPr>
    </w:p>
    <w:p w14:paraId="5FE3FDAA" w14:textId="77777777" w:rsidR="00F46DA2" w:rsidRDefault="00F46DA2">
      <w:pPr>
        <w:pStyle w:val="BodyText"/>
        <w:spacing w:before="5"/>
        <w:rPr>
          <w:rFonts w:ascii="Calibri"/>
          <w:sz w:val="21"/>
        </w:rPr>
      </w:pPr>
    </w:p>
    <w:p w14:paraId="488740DE" w14:textId="11E32BD7" w:rsidR="00F46DA2" w:rsidRDefault="00F60361">
      <w:pPr>
        <w:spacing w:before="92"/>
        <w:ind w:left="3123" w:right="2606"/>
        <w:jc w:val="center"/>
        <w:rPr>
          <w:b/>
          <w:sz w:val="28"/>
        </w:rPr>
      </w:pPr>
      <w:r>
        <w:rPr>
          <w:b/>
          <w:sz w:val="28"/>
        </w:rPr>
        <w:t>MATERNAL BIRTH</w:t>
      </w:r>
      <w:r w:rsidR="000F5A18">
        <w:rPr>
          <w:b/>
          <w:sz w:val="28"/>
        </w:rPr>
        <w:t xml:space="preserve"> LEAVE (</w:t>
      </w:r>
      <w:r>
        <w:rPr>
          <w:b/>
          <w:sz w:val="28"/>
        </w:rPr>
        <w:t>MB</w:t>
      </w:r>
      <w:r w:rsidR="000F5A18">
        <w:rPr>
          <w:b/>
          <w:sz w:val="28"/>
        </w:rPr>
        <w:t>L)</w:t>
      </w:r>
      <w:r w:rsidR="004C3325">
        <w:rPr>
          <w:b/>
          <w:sz w:val="28"/>
        </w:rPr>
        <w:t xml:space="preserve"> FREQUENTLY ASKED QUESTIONS</w:t>
      </w:r>
    </w:p>
    <w:p w14:paraId="0ECB6B8F" w14:textId="77777777" w:rsidR="000B26C8" w:rsidRDefault="000B26C8" w:rsidP="002973BC">
      <w:pPr>
        <w:spacing w:before="72"/>
        <w:ind w:right="199"/>
        <w:rPr>
          <w:color w:val="585858"/>
          <w:sz w:val="20"/>
        </w:rPr>
      </w:pPr>
    </w:p>
    <w:p w14:paraId="4241CE25" w14:textId="0084E177" w:rsidR="00F46DA2" w:rsidRDefault="004C3325" w:rsidP="00054B9D">
      <w:pPr>
        <w:spacing w:before="72"/>
        <w:ind w:right="199"/>
      </w:pPr>
      <w:r w:rsidRPr="000B26C8">
        <w:t xml:space="preserve">The answers </w:t>
      </w:r>
      <w:r w:rsidR="00033EAB">
        <w:t>i</w:t>
      </w:r>
      <w:r w:rsidRPr="000B26C8">
        <w:t xml:space="preserve">n these FAQs </w:t>
      </w:r>
      <w:r w:rsidR="00460DEA" w:rsidRPr="000B26C8">
        <w:t xml:space="preserve">are intended to provide guidance to Executive Branch agencies in the State of Georgia. </w:t>
      </w:r>
    </w:p>
    <w:p w14:paraId="04CA3CB8" w14:textId="77777777" w:rsidR="00A3618E" w:rsidRPr="000B26C8" w:rsidRDefault="00A3618E" w:rsidP="0028678A">
      <w:pPr>
        <w:ind w:right="202"/>
      </w:pPr>
    </w:p>
    <w:p w14:paraId="288F8E7D" w14:textId="77777777" w:rsidR="000B26C8" w:rsidRDefault="000B26C8" w:rsidP="00C52311">
      <w:pPr>
        <w:rPr>
          <w:b/>
          <w:bCs/>
        </w:rPr>
      </w:pPr>
    </w:p>
    <w:p w14:paraId="46B68120" w14:textId="69C76AC5" w:rsidR="00C52311" w:rsidRDefault="00C52311" w:rsidP="00C52311">
      <w:pPr>
        <w:rPr>
          <w:b/>
          <w:bCs/>
        </w:rPr>
      </w:pPr>
      <w:r w:rsidRPr="00C85D49">
        <w:rPr>
          <w:b/>
          <w:bCs/>
        </w:rPr>
        <w:t xml:space="preserve">(1) What is the effective date of the </w:t>
      </w:r>
      <w:r w:rsidR="00F60361">
        <w:rPr>
          <w:b/>
          <w:bCs/>
        </w:rPr>
        <w:t>maternal birth leave</w:t>
      </w:r>
      <w:r>
        <w:rPr>
          <w:b/>
          <w:bCs/>
        </w:rPr>
        <w:t xml:space="preserve"> </w:t>
      </w:r>
      <w:r w:rsidRPr="00C85D49">
        <w:rPr>
          <w:b/>
          <w:bCs/>
        </w:rPr>
        <w:t>law?</w:t>
      </w:r>
    </w:p>
    <w:p w14:paraId="47DC958C" w14:textId="77777777" w:rsidR="000B26C8" w:rsidRPr="00C85D49" w:rsidRDefault="000B26C8" w:rsidP="00C52311">
      <w:pPr>
        <w:rPr>
          <w:b/>
          <w:bCs/>
        </w:rPr>
      </w:pPr>
    </w:p>
    <w:p w14:paraId="62848682" w14:textId="46E9B4DA" w:rsidR="00C52311" w:rsidRDefault="00F60361" w:rsidP="00C52311">
      <w:r w:rsidRPr="00F60361">
        <w:t xml:space="preserve">The state law establishing </w:t>
      </w:r>
      <w:r w:rsidR="00C32C66">
        <w:t>maternal birth leave</w:t>
      </w:r>
      <w:r w:rsidRPr="00F60361">
        <w:t xml:space="preserve"> for eligible state employees becomes effective July 1, 2026.</w:t>
      </w:r>
    </w:p>
    <w:p w14:paraId="112919EC" w14:textId="77777777" w:rsidR="00C52311" w:rsidRDefault="00C52311" w:rsidP="00C52311"/>
    <w:p w14:paraId="70D42D67" w14:textId="7910F70E" w:rsidR="00C52311" w:rsidRDefault="00C52311" w:rsidP="00C52311">
      <w:pPr>
        <w:rPr>
          <w:b/>
          <w:bCs/>
        </w:rPr>
      </w:pPr>
      <w:r w:rsidRPr="00C85D49">
        <w:rPr>
          <w:b/>
          <w:bCs/>
        </w:rPr>
        <w:t xml:space="preserve">(2) Is </w:t>
      </w:r>
      <w:r w:rsidR="00F60361">
        <w:rPr>
          <w:b/>
          <w:bCs/>
        </w:rPr>
        <w:t>MB</w:t>
      </w:r>
      <w:r w:rsidRPr="00C85D49">
        <w:rPr>
          <w:b/>
          <w:bCs/>
        </w:rPr>
        <w:t>L retroactive?</w:t>
      </w:r>
    </w:p>
    <w:p w14:paraId="6D946044" w14:textId="77777777" w:rsidR="000B26C8" w:rsidRPr="00C85D49" w:rsidRDefault="000B26C8" w:rsidP="00C52311">
      <w:pPr>
        <w:rPr>
          <w:b/>
          <w:bCs/>
        </w:rPr>
      </w:pPr>
    </w:p>
    <w:p w14:paraId="16DEAAE0" w14:textId="15CA820B" w:rsidR="00C52311" w:rsidRDefault="00F60361" w:rsidP="00C52311">
      <w:r w:rsidRPr="00F60361">
        <w:t xml:space="preserve">Maternal birth leave cannot be granted for absences that occurred prior to the effective date of the state law (July 1, 2026), but the leave can be taken based on a qualifying </w:t>
      </w:r>
      <w:r w:rsidR="00C32C66">
        <w:t xml:space="preserve">life </w:t>
      </w:r>
      <w:r w:rsidRPr="00F60361">
        <w:t xml:space="preserve">event </w:t>
      </w:r>
      <w:r w:rsidR="00C32C66">
        <w:t xml:space="preserve">(QLE) </w:t>
      </w:r>
      <w:r w:rsidRPr="00F60361">
        <w:t xml:space="preserve">that occurs prior to the effective date. Leave must be taken in the three-week period </w:t>
      </w:r>
      <w:r w:rsidR="00692368">
        <w:t xml:space="preserve">immediately </w:t>
      </w:r>
      <w:r w:rsidRPr="00F60361">
        <w:t>following the qualifying event (but, again, the leave cannot occur before the July 1, 2026, effective date).</w:t>
      </w:r>
    </w:p>
    <w:p w14:paraId="0D8F1A35" w14:textId="77777777" w:rsidR="00535B39" w:rsidRDefault="00535B39" w:rsidP="00C52311"/>
    <w:p w14:paraId="04AD7C18" w14:textId="60918C04" w:rsidR="00535B39" w:rsidRDefault="00535B39" w:rsidP="00C52311">
      <w:r>
        <w:t>For example, a qualifying employee whose QLE is June 2</w:t>
      </w:r>
      <w:r w:rsidR="003A141F">
        <w:t>2</w:t>
      </w:r>
      <w:r>
        <w:t>, 2026, could not take MBL until July 1, 2026, and could not take MBL after July 1</w:t>
      </w:r>
      <w:r w:rsidR="0043534A">
        <w:t>3</w:t>
      </w:r>
      <w:r>
        <w:t>, 2026.</w:t>
      </w:r>
    </w:p>
    <w:p w14:paraId="30549C43" w14:textId="77777777" w:rsidR="00641AF3" w:rsidRDefault="00641AF3" w:rsidP="00C52311"/>
    <w:p w14:paraId="216BE946" w14:textId="6E0250D1" w:rsidR="00641AF3" w:rsidRPr="00641AF3" w:rsidRDefault="00641AF3" w:rsidP="00C52311">
      <w:pPr>
        <w:rPr>
          <w:b/>
          <w:bCs/>
        </w:rPr>
      </w:pPr>
      <w:r w:rsidRPr="00641AF3">
        <w:rPr>
          <w:b/>
          <w:bCs/>
        </w:rPr>
        <w:t>(3) What is a qualifying life event for MBL?</w:t>
      </w:r>
    </w:p>
    <w:p w14:paraId="69452744" w14:textId="77777777" w:rsidR="00641AF3" w:rsidRDefault="00641AF3" w:rsidP="00C52311"/>
    <w:p w14:paraId="7B9A573D" w14:textId="0D22430E" w:rsidR="00B870ED" w:rsidRPr="00B870ED" w:rsidRDefault="003E5DE0" w:rsidP="00B870ED">
      <w:r>
        <w:t xml:space="preserve">The statute establishing </w:t>
      </w:r>
      <w:r w:rsidR="00641AF3">
        <w:t xml:space="preserve">MBL </w:t>
      </w:r>
      <w:r>
        <w:t xml:space="preserve">states that the leave </w:t>
      </w:r>
      <w:r w:rsidR="00641AF3">
        <w:t xml:space="preserve">is available only for </w:t>
      </w:r>
      <w:r w:rsidR="00B870ED">
        <w:t>the QLE of “</w:t>
      </w:r>
      <w:r w:rsidR="00B870ED" w:rsidRPr="00B870ED">
        <w:t>giving birth to one or more children in a single or multiple pregnancy.</w:t>
      </w:r>
      <w:r>
        <w:t>”</w:t>
      </w:r>
      <w:r w:rsidR="00B870ED">
        <w:t xml:space="preserve"> MBL is defined </w:t>
      </w:r>
      <w:r>
        <w:t xml:space="preserve">in statute </w:t>
      </w:r>
      <w:r w:rsidR="00B870ED">
        <w:t xml:space="preserve">as “a </w:t>
      </w:r>
      <w:r w:rsidR="00B870ED" w:rsidRPr="00B870ED">
        <w:t>period of paid time off from work necessary to</w:t>
      </w:r>
      <w:r w:rsidR="00B870ED">
        <w:t xml:space="preserve"> </w:t>
      </w:r>
      <w:r w:rsidR="00B870ED" w:rsidRPr="00B870ED">
        <w:t>recuperate as a result of a qualifying life event.</w:t>
      </w:r>
      <w:r w:rsidR="00B870ED">
        <w:t xml:space="preserve">” </w:t>
      </w:r>
      <w:r w:rsidR="00B67EF8">
        <w:t>T</w:t>
      </w:r>
      <w:r w:rsidR="00B67EF8" w:rsidRPr="00B67EF8">
        <w:t>he intent of this leave is to aid employees with the physical recovery from childbirth</w:t>
      </w:r>
      <w:r w:rsidR="00B67EF8">
        <w:t xml:space="preserve">, </w:t>
      </w:r>
      <w:r w:rsidR="00B67EF8" w:rsidRPr="00B67EF8">
        <w:t>while other leave, such as P</w:t>
      </w:r>
      <w:r w:rsidR="00B67EF8">
        <w:t xml:space="preserve">aid </w:t>
      </w:r>
      <w:r w:rsidR="00B67EF8" w:rsidRPr="00B67EF8">
        <w:t>P</w:t>
      </w:r>
      <w:r w:rsidR="00B67EF8">
        <w:t xml:space="preserve">arental </w:t>
      </w:r>
      <w:r w:rsidR="00B67EF8" w:rsidRPr="00B67EF8">
        <w:t>L</w:t>
      </w:r>
      <w:r w:rsidR="00B67EF8">
        <w:t>eave (PPL)</w:t>
      </w:r>
      <w:r w:rsidR="00B67EF8" w:rsidRPr="00B67EF8">
        <w:t>, may be used for bonding.</w:t>
      </w:r>
      <w:r w:rsidR="00B67EF8">
        <w:t xml:space="preserve"> </w:t>
      </w:r>
      <w:r w:rsidR="00B870ED">
        <w:t>MBL</w:t>
      </w:r>
      <w:r>
        <w:t xml:space="preserve"> </w:t>
      </w:r>
      <w:r w:rsidR="00B870ED">
        <w:t>is not available to spouses, nor is it available for adoption or foster care.</w:t>
      </w:r>
    </w:p>
    <w:p w14:paraId="1096D37A" w14:textId="6B11B6AB" w:rsidR="00641AF3" w:rsidRDefault="00641AF3" w:rsidP="00C52311"/>
    <w:p w14:paraId="0B51FDDE" w14:textId="41771A60" w:rsidR="00C52311" w:rsidRDefault="00C52311" w:rsidP="00C52311">
      <w:pPr>
        <w:rPr>
          <w:b/>
          <w:bCs/>
        </w:rPr>
      </w:pPr>
      <w:r w:rsidRPr="00C85D49">
        <w:rPr>
          <w:b/>
          <w:bCs/>
        </w:rPr>
        <w:t>(</w:t>
      </w:r>
      <w:r w:rsidR="00B870ED">
        <w:rPr>
          <w:b/>
          <w:bCs/>
        </w:rPr>
        <w:t>4</w:t>
      </w:r>
      <w:r w:rsidRPr="00C85D49">
        <w:rPr>
          <w:b/>
          <w:bCs/>
        </w:rPr>
        <w:t xml:space="preserve">) If an employee qualifies for both </w:t>
      </w:r>
      <w:r w:rsidR="005E0B46">
        <w:rPr>
          <w:b/>
          <w:bCs/>
        </w:rPr>
        <w:t>MB</w:t>
      </w:r>
      <w:r w:rsidRPr="00C85D49">
        <w:rPr>
          <w:b/>
          <w:bCs/>
        </w:rPr>
        <w:t>L and FMLA leave, what is the total number of weeks that can be taken?</w:t>
      </w:r>
    </w:p>
    <w:p w14:paraId="151908B1" w14:textId="77777777" w:rsidR="000B26C8" w:rsidRPr="00C85D49" w:rsidRDefault="000B26C8" w:rsidP="00C52311">
      <w:pPr>
        <w:rPr>
          <w:b/>
          <w:bCs/>
        </w:rPr>
      </w:pPr>
    </w:p>
    <w:p w14:paraId="1184A6F2" w14:textId="31CC5B96" w:rsidR="001412C4" w:rsidRDefault="001412C4" w:rsidP="001412C4">
      <w:r>
        <w:t>State Personnel Board Rule 16</w:t>
      </w:r>
      <w:r w:rsidR="00C80929">
        <w:t xml:space="preserve">, </w:t>
      </w:r>
      <w:r w:rsidR="00C80929" w:rsidRPr="00C80929">
        <w:rPr>
          <w:i/>
          <w:iCs/>
        </w:rPr>
        <w:t>Absence from Work</w:t>
      </w:r>
      <w:r w:rsidR="00C80929">
        <w:t>,</w:t>
      </w:r>
      <w:r>
        <w:t xml:space="preserve"> includes the following provision</w:t>
      </w:r>
      <w:r w:rsidR="00C80929">
        <w:t xml:space="preserve"> concerning paid parental leave</w:t>
      </w:r>
      <w:r>
        <w:t>:</w:t>
      </w:r>
    </w:p>
    <w:p w14:paraId="29054C96" w14:textId="77777777" w:rsidR="001412C4" w:rsidRDefault="001412C4" w:rsidP="001412C4"/>
    <w:p w14:paraId="4B57D296" w14:textId="77777777" w:rsidR="001412C4" w:rsidRDefault="001412C4" w:rsidP="001412C4">
      <w:pPr>
        <w:ind w:left="720"/>
      </w:pPr>
      <w:r>
        <w:t>If an employee eligible for paid parental leave is also eligible for leave under the federal Family and Medical Leave Act (FMLA) (see Rule 478-1-.23, Family and Medical Leave), an agency may, by written policy, require paid parental leave to run concurrently with FMLA leave.</w:t>
      </w:r>
    </w:p>
    <w:p w14:paraId="033691E6" w14:textId="77777777" w:rsidR="001412C4" w:rsidRDefault="001412C4" w:rsidP="001412C4"/>
    <w:p w14:paraId="6091545B" w14:textId="30CF8232" w:rsidR="003129C8" w:rsidRDefault="00C80929" w:rsidP="001412C4">
      <w:r>
        <w:t xml:space="preserve">Proposed modifications to Rule 16 </w:t>
      </w:r>
      <w:r w:rsidR="00CB4F21">
        <w:t xml:space="preserve">incorporate </w:t>
      </w:r>
      <w:r w:rsidR="003129C8">
        <w:t>maternal birth leave</w:t>
      </w:r>
      <w:r w:rsidR="00CB4F21">
        <w:t xml:space="preserve"> into this provision.</w:t>
      </w:r>
    </w:p>
    <w:p w14:paraId="2FD3157F" w14:textId="77777777" w:rsidR="003129C8" w:rsidRDefault="003129C8" w:rsidP="001412C4"/>
    <w:p w14:paraId="4236F78D" w14:textId="4FEC83B9" w:rsidR="00C52311" w:rsidRDefault="001412C4" w:rsidP="001412C4">
      <w:r>
        <w:t>If the agency adopts such a policy, and the employee is eligible for FMLA leave at the time MBL begins, the total of MBL and FMLA leave could not exceed 12 weeks. However, because an employee could be eligible for MBL before she becomes eligible for FMLA leave, a new employee who takes MBL prior to becoming eligible for FMLA leave may be entitled to as much as 15 weeks.</w:t>
      </w:r>
    </w:p>
    <w:p w14:paraId="7E36DA7A" w14:textId="77777777" w:rsidR="00F070EC" w:rsidRDefault="00F070EC" w:rsidP="001412C4"/>
    <w:p w14:paraId="59E344F9" w14:textId="77777777" w:rsidR="00F070EC" w:rsidRDefault="00F070EC" w:rsidP="001412C4"/>
    <w:p w14:paraId="07F2729F" w14:textId="77777777" w:rsidR="00F070EC" w:rsidRDefault="00F070EC" w:rsidP="001412C4"/>
    <w:p w14:paraId="2CF5E001" w14:textId="6F9F625F" w:rsidR="00D278E8" w:rsidRDefault="00D278E8" w:rsidP="00C52311"/>
    <w:p w14:paraId="75DC327F" w14:textId="37ECE833" w:rsidR="00D278E8" w:rsidRPr="00C90300" w:rsidRDefault="00D278E8" w:rsidP="00D278E8">
      <w:pPr>
        <w:rPr>
          <w:rFonts w:ascii="Calibri" w:eastAsiaTheme="minorHAnsi" w:hAnsi="Calibri" w:cs="Calibri"/>
          <w:b/>
          <w:bCs/>
          <w:lang w:bidi="ar-SA"/>
        </w:rPr>
      </w:pPr>
      <w:r w:rsidRPr="00C90300">
        <w:rPr>
          <w:b/>
          <w:bCs/>
        </w:rPr>
        <w:lastRenderedPageBreak/>
        <w:t>(</w:t>
      </w:r>
      <w:r w:rsidR="00B870ED">
        <w:rPr>
          <w:b/>
          <w:bCs/>
        </w:rPr>
        <w:t>5</w:t>
      </w:r>
      <w:r w:rsidRPr="00C90300">
        <w:rPr>
          <w:b/>
          <w:bCs/>
        </w:rPr>
        <w:t xml:space="preserve">) If an employee is eligible for FMLA leave for </w:t>
      </w:r>
      <w:r w:rsidR="00DD0784">
        <w:rPr>
          <w:b/>
          <w:bCs/>
        </w:rPr>
        <w:t>childbirth</w:t>
      </w:r>
      <w:r w:rsidRPr="00C90300">
        <w:rPr>
          <w:b/>
          <w:bCs/>
        </w:rPr>
        <w:t xml:space="preserve"> and also has accrued leave to apply to the absence, in what order should the agency apply paid leave? Should the agency apply </w:t>
      </w:r>
      <w:r w:rsidR="00DD0784">
        <w:rPr>
          <w:b/>
          <w:bCs/>
        </w:rPr>
        <w:t>MB</w:t>
      </w:r>
      <w:r w:rsidRPr="00C90300">
        <w:rPr>
          <w:b/>
          <w:bCs/>
        </w:rPr>
        <w:t xml:space="preserve">L </w:t>
      </w:r>
      <w:r w:rsidR="007C0917">
        <w:rPr>
          <w:b/>
          <w:bCs/>
        </w:rPr>
        <w:t xml:space="preserve">and PPL </w:t>
      </w:r>
      <w:r w:rsidRPr="00C90300">
        <w:rPr>
          <w:b/>
          <w:bCs/>
        </w:rPr>
        <w:t>before accrued paid leave?</w:t>
      </w:r>
    </w:p>
    <w:p w14:paraId="1B8A17BE" w14:textId="77777777" w:rsidR="00D278E8" w:rsidRPr="00C90300" w:rsidRDefault="00D278E8" w:rsidP="00D278E8"/>
    <w:p w14:paraId="508DD8D0" w14:textId="1017A03A" w:rsidR="00D278E8" w:rsidRDefault="00D278E8" w:rsidP="00C52311">
      <w:r w:rsidRPr="00C90300">
        <w:t>An agency should accommodate an employee’s preference of order between the use of accrued leave</w:t>
      </w:r>
      <w:r w:rsidR="007C0917">
        <w:t xml:space="preserve">, MBL, </w:t>
      </w:r>
      <w:r w:rsidRPr="00C90300">
        <w:t xml:space="preserve"> or </w:t>
      </w:r>
      <w:r w:rsidR="007C0917">
        <w:t>PPL</w:t>
      </w:r>
      <w:r w:rsidRPr="00C90300">
        <w:t xml:space="preserve"> to cover the FMLA-eligible absence for the birth of a child</w:t>
      </w:r>
      <w:r w:rsidR="00DD0784">
        <w:t xml:space="preserve">, but the employee should be advised that MBL can be taken only in the three weeks immediately following childbirth. </w:t>
      </w:r>
      <w:r w:rsidRPr="00C90300">
        <w:t xml:space="preserve">If an employee expresses no preference of order, </w:t>
      </w:r>
      <w:r w:rsidR="00DD0784">
        <w:t>MB</w:t>
      </w:r>
      <w:r w:rsidRPr="00C90300">
        <w:t>L should be applied first</w:t>
      </w:r>
      <w:r w:rsidR="0063010D">
        <w:t>, followed by PPL.</w:t>
      </w:r>
    </w:p>
    <w:p w14:paraId="52B5D7F9" w14:textId="77777777" w:rsidR="00C32C66" w:rsidRDefault="00C32C66" w:rsidP="00C52311"/>
    <w:p w14:paraId="5CBE97E5" w14:textId="62770DBE" w:rsidR="00C52311" w:rsidRDefault="00C52311" w:rsidP="00C52311">
      <w:pPr>
        <w:rPr>
          <w:b/>
          <w:bCs/>
        </w:rPr>
      </w:pPr>
      <w:r w:rsidRPr="00C85D49">
        <w:rPr>
          <w:b/>
          <w:bCs/>
        </w:rPr>
        <w:t>(</w:t>
      </w:r>
      <w:r w:rsidR="00B870ED">
        <w:rPr>
          <w:b/>
          <w:bCs/>
        </w:rPr>
        <w:t>6</w:t>
      </w:r>
      <w:r w:rsidRPr="00C85D49">
        <w:rPr>
          <w:b/>
          <w:bCs/>
        </w:rPr>
        <w:t xml:space="preserve">) </w:t>
      </w:r>
      <w:r w:rsidR="008B588D">
        <w:rPr>
          <w:b/>
          <w:bCs/>
        </w:rPr>
        <w:t xml:space="preserve">What are the leave codes for </w:t>
      </w:r>
      <w:r w:rsidR="00DD0784">
        <w:rPr>
          <w:b/>
          <w:bCs/>
        </w:rPr>
        <w:t>MB</w:t>
      </w:r>
      <w:r w:rsidRPr="00C85D49">
        <w:rPr>
          <w:b/>
          <w:bCs/>
        </w:rPr>
        <w:t>L?</w:t>
      </w:r>
    </w:p>
    <w:p w14:paraId="4E36238D" w14:textId="77777777" w:rsidR="000B26C8" w:rsidRPr="00C85D49" w:rsidRDefault="000B26C8" w:rsidP="00C52311">
      <w:pPr>
        <w:rPr>
          <w:b/>
          <w:bCs/>
        </w:rPr>
      </w:pPr>
    </w:p>
    <w:p w14:paraId="63FA8F4F" w14:textId="65F3FD51" w:rsidR="00C37B37" w:rsidRDefault="008C1C2B" w:rsidP="00C52311">
      <w:r>
        <w:t>Information</w:t>
      </w:r>
      <w:r w:rsidR="00C54D2B">
        <w:t xml:space="preserve"> regarding leave codes for </w:t>
      </w:r>
      <w:r w:rsidR="00DD0784">
        <w:t>MB</w:t>
      </w:r>
      <w:r w:rsidR="00C54D2B">
        <w:t xml:space="preserve">L in </w:t>
      </w:r>
      <w:r w:rsidR="00DD1F93">
        <w:t xml:space="preserve">GA@WORK </w:t>
      </w:r>
      <w:r w:rsidR="005871A8">
        <w:t>will be provided by SAO</w:t>
      </w:r>
      <w:r w:rsidR="00DD0784">
        <w:t xml:space="preserve"> by October 1, 2026. Prior to that date, MBL should be coded as “Admin Leave - Commissioner</w:t>
      </w:r>
      <w:r w:rsidR="001A111B" w:rsidRPr="001A111B">
        <w:t>.</w:t>
      </w:r>
      <w:r w:rsidR="00DD0784">
        <w:t>”</w:t>
      </w:r>
      <w:r w:rsidR="001A111B" w:rsidRPr="001A111B">
        <w:t xml:space="preserve"> </w:t>
      </w:r>
    </w:p>
    <w:p w14:paraId="0590EB7C" w14:textId="77777777" w:rsidR="00C37B37" w:rsidRDefault="00C37B37" w:rsidP="00C52311"/>
    <w:p w14:paraId="56224036" w14:textId="076295EE" w:rsidR="00C52311" w:rsidRPr="00C85D49" w:rsidRDefault="00C52311" w:rsidP="00C52311">
      <w:pPr>
        <w:rPr>
          <w:b/>
          <w:bCs/>
        </w:rPr>
      </w:pPr>
      <w:r w:rsidRPr="00C85D49">
        <w:rPr>
          <w:b/>
          <w:bCs/>
        </w:rPr>
        <w:t>(</w:t>
      </w:r>
      <w:r w:rsidR="00B870ED">
        <w:rPr>
          <w:b/>
          <w:bCs/>
        </w:rPr>
        <w:t>7</w:t>
      </w:r>
      <w:r w:rsidRPr="00C85D49">
        <w:rPr>
          <w:b/>
          <w:bCs/>
        </w:rPr>
        <w:t xml:space="preserve">) </w:t>
      </w:r>
      <w:r w:rsidR="00C27110">
        <w:rPr>
          <w:b/>
          <w:bCs/>
        </w:rPr>
        <w:t>Does</w:t>
      </w:r>
      <w:r w:rsidRPr="00C85D49">
        <w:rPr>
          <w:b/>
          <w:bCs/>
        </w:rPr>
        <w:t xml:space="preserve"> the leave management system load </w:t>
      </w:r>
      <w:r w:rsidR="00DD0784">
        <w:rPr>
          <w:b/>
          <w:bCs/>
        </w:rPr>
        <w:t>MB</w:t>
      </w:r>
      <w:r w:rsidRPr="00C85D49">
        <w:rPr>
          <w:b/>
          <w:bCs/>
        </w:rPr>
        <w:t>L the way it loads education support leave?</w:t>
      </w:r>
      <w:r w:rsidRPr="00C85D49">
        <w:rPr>
          <w:b/>
          <w:bCs/>
        </w:rPr>
        <w:br/>
      </w:r>
    </w:p>
    <w:p w14:paraId="3A4A88A8" w14:textId="5F8C2975" w:rsidR="00C52311" w:rsidRDefault="00C52311" w:rsidP="00C52311">
      <w:r>
        <w:t xml:space="preserve">No. </w:t>
      </w:r>
      <w:r w:rsidR="00DD0784">
        <w:t>MB</w:t>
      </w:r>
      <w:r>
        <w:t xml:space="preserve">L is not based on the fiscal year, so the leave </w:t>
      </w:r>
      <w:r w:rsidR="00C27110">
        <w:t>does</w:t>
      </w:r>
      <w:r>
        <w:t xml:space="preserve"> not automatically appear in the system at the beginning of each fiscal year.</w:t>
      </w:r>
    </w:p>
    <w:p w14:paraId="5D1DD544" w14:textId="77777777" w:rsidR="00C52311" w:rsidRDefault="00C52311" w:rsidP="00C52311"/>
    <w:p w14:paraId="58696115" w14:textId="66C24856" w:rsidR="00C52311" w:rsidRDefault="00C52311" w:rsidP="00C52311">
      <w:pPr>
        <w:rPr>
          <w:b/>
          <w:bCs/>
        </w:rPr>
      </w:pPr>
      <w:r w:rsidRPr="00C85D49">
        <w:rPr>
          <w:b/>
          <w:bCs/>
        </w:rPr>
        <w:t>(</w:t>
      </w:r>
      <w:r w:rsidR="00B870ED">
        <w:rPr>
          <w:b/>
          <w:bCs/>
        </w:rPr>
        <w:t>8</w:t>
      </w:r>
      <w:r w:rsidRPr="00C85D49">
        <w:rPr>
          <w:b/>
          <w:bCs/>
        </w:rPr>
        <w:t xml:space="preserve">) </w:t>
      </w:r>
      <w:r w:rsidR="00C8019B">
        <w:rPr>
          <w:b/>
          <w:bCs/>
        </w:rPr>
        <w:t xml:space="preserve">State Personnel Board Rule 23, </w:t>
      </w:r>
      <w:r w:rsidR="00C8019B" w:rsidRPr="00C8019B">
        <w:rPr>
          <w:b/>
          <w:bCs/>
          <w:i/>
          <w:iCs/>
        </w:rPr>
        <w:t>Family and Medical Leave</w:t>
      </w:r>
      <w:r w:rsidR="00C8019B">
        <w:rPr>
          <w:b/>
          <w:bCs/>
        </w:rPr>
        <w:t>, contains a s</w:t>
      </w:r>
      <w:r w:rsidRPr="00C85D49">
        <w:rPr>
          <w:b/>
          <w:bCs/>
        </w:rPr>
        <w:t xml:space="preserve">tatement that for the purpose of eligibility determination, the state is considered one employer. Is that the same for </w:t>
      </w:r>
      <w:r w:rsidR="00DD0784">
        <w:rPr>
          <w:b/>
          <w:bCs/>
        </w:rPr>
        <w:t>MB</w:t>
      </w:r>
      <w:r w:rsidRPr="00C85D49">
        <w:rPr>
          <w:b/>
          <w:bCs/>
        </w:rPr>
        <w:t>L?</w:t>
      </w:r>
    </w:p>
    <w:p w14:paraId="3ED3C8F9" w14:textId="77777777" w:rsidR="000B26C8" w:rsidRPr="00C85D49" w:rsidRDefault="000B26C8" w:rsidP="00C52311">
      <w:pPr>
        <w:rPr>
          <w:b/>
          <w:bCs/>
        </w:rPr>
      </w:pPr>
    </w:p>
    <w:p w14:paraId="44AF739F" w14:textId="36B35CAE" w:rsidR="00165209" w:rsidRDefault="00C52311" w:rsidP="00C52311">
      <w:r w:rsidRPr="00A75F1A">
        <w:t>Yes. An employee could combine service across more than one employing entity to meet the eligibility requirement.</w:t>
      </w:r>
    </w:p>
    <w:p w14:paraId="683C2114" w14:textId="77777777" w:rsidR="00C52311" w:rsidRDefault="00C52311" w:rsidP="00C52311"/>
    <w:p w14:paraId="65CDF8A5" w14:textId="1C0A5E37" w:rsidR="00C52311" w:rsidRDefault="00C52311" w:rsidP="00C52311">
      <w:pPr>
        <w:rPr>
          <w:b/>
          <w:bCs/>
        </w:rPr>
      </w:pPr>
      <w:r w:rsidRPr="00D452A8">
        <w:rPr>
          <w:b/>
          <w:bCs/>
        </w:rPr>
        <w:t>(</w:t>
      </w:r>
      <w:r w:rsidR="00B870ED">
        <w:rPr>
          <w:b/>
          <w:bCs/>
        </w:rPr>
        <w:t>9</w:t>
      </w:r>
      <w:r w:rsidRPr="00D452A8">
        <w:rPr>
          <w:b/>
          <w:bCs/>
        </w:rPr>
        <w:t xml:space="preserve">) Is an eligible employee limited to a maximum </w:t>
      </w:r>
      <w:r>
        <w:rPr>
          <w:b/>
          <w:bCs/>
        </w:rPr>
        <w:t xml:space="preserve">allotment </w:t>
      </w:r>
      <w:r w:rsidRPr="00D452A8">
        <w:rPr>
          <w:b/>
          <w:bCs/>
        </w:rPr>
        <w:t xml:space="preserve">of </w:t>
      </w:r>
      <w:r w:rsidR="00CB4F21">
        <w:rPr>
          <w:b/>
          <w:bCs/>
        </w:rPr>
        <w:t>120</w:t>
      </w:r>
      <w:r w:rsidRPr="00D452A8">
        <w:rPr>
          <w:b/>
          <w:bCs/>
        </w:rPr>
        <w:t xml:space="preserve"> hours of </w:t>
      </w:r>
      <w:r w:rsidR="00CB4F21">
        <w:rPr>
          <w:b/>
          <w:bCs/>
        </w:rPr>
        <w:t>MBL</w:t>
      </w:r>
      <w:r w:rsidRPr="00D452A8">
        <w:rPr>
          <w:b/>
          <w:bCs/>
        </w:rPr>
        <w:t xml:space="preserve"> if transferring to another employing entity within the </w:t>
      </w:r>
      <w:r w:rsidR="00C8019B">
        <w:rPr>
          <w:b/>
          <w:bCs/>
        </w:rPr>
        <w:t>s</w:t>
      </w:r>
      <w:r w:rsidRPr="00D452A8">
        <w:rPr>
          <w:b/>
          <w:bCs/>
        </w:rPr>
        <w:t>tate</w:t>
      </w:r>
      <w:r w:rsidR="00C8019B">
        <w:rPr>
          <w:b/>
          <w:bCs/>
        </w:rPr>
        <w:t>,</w:t>
      </w:r>
      <w:r w:rsidRPr="00D452A8">
        <w:rPr>
          <w:b/>
          <w:bCs/>
        </w:rPr>
        <w:t xml:space="preserve"> or would the </w:t>
      </w:r>
      <w:r w:rsidR="00CB4F21">
        <w:rPr>
          <w:b/>
          <w:bCs/>
        </w:rPr>
        <w:t>120</w:t>
      </w:r>
      <w:r w:rsidRPr="00D452A8">
        <w:rPr>
          <w:b/>
          <w:bCs/>
        </w:rPr>
        <w:t xml:space="preserve"> hours start over</w:t>
      </w:r>
      <w:r w:rsidR="00CB4F21">
        <w:rPr>
          <w:b/>
          <w:bCs/>
        </w:rPr>
        <w:t xml:space="preserve"> if</w:t>
      </w:r>
      <w:r w:rsidRPr="00D452A8">
        <w:rPr>
          <w:b/>
          <w:bCs/>
        </w:rPr>
        <w:t xml:space="preserve"> an eligible employee transfers?</w:t>
      </w:r>
    </w:p>
    <w:p w14:paraId="477DE200" w14:textId="77777777" w:rsidR="00165209" w:rsidRPr="00D452A8" w:rsidRDefault="00165209" w:rsidP="00C52311">
      <w:pPr>
        <w:rPr>
          <w:b/>
          <w:bCs/>
        </w:rPr>
      </w:pPr>
    </w:p>
    <w:p w14:paraId="5BB1AEE4" w14:textId="7284E644" w:rsidR="00C52311" w:rsidRDefault="00C52311" w:rsidP="00C52311">
      <w:r>
        <w:t xml:space="preserve">An eligible employee is limited to a maximum allotment of </w:t>
      </w:r>
      <w:r w:rsidR="00CB4F21">
        <w:t>120</w:t>
      </w:r>
      <w:r>
        <w:t xml:space="preserve"> hours of </w:t>
      </w:r>
      <w:r w:rsidR="00CB4F21">
        <w:t>MBL</w:t>
      </w:r>
      <w:r w:rsidR="0079271A">
        <w:t xml:space="preserve"> per qualifying life event</w:t>
      </w:r>
      <w:r w:rsidR="00CB4F21">
        <w:t>, which must be taken in the three-week period immediately following the qualifying event</w:t>
      </w:r>
      <w:r w:rsidR="00845684">
        <w:t>, across all state employers</w:t>
      </w:r>
      <w:r w:rsidR="00CB4F21">
        <w:t>. Transfer during that three-week period would not increase the amount of MBL available.</w:t>
      </w:r>
    </w:p>
    <w:p w14:paraId="157546AC" w14:textId="77777777" w:rsidR="00C52311" w:rsidRDefault="00C52311" w:rsidP="00C52311"/>
    <w:p w14:paraId="3F47E816" w14:textId="044966A1" w:rsidR="00C52311" w:rsidRDefault="00C52311" w:rsidP="00C52311">
      <w:pPr>
        <w:rPr>
          <w:b/>
          <w:bCs/>
        </w:rPr>
      </w:pPr>
      <w:r w:rsidRPr="00C85D49">
        <w:rPr>
          <w:b/>
          <w:bCs/>
        </w:rPr>
        <w:t>(</w:t>
      </w:r>
      <w:r w:rsidR="00B870ED">
        <w:rPr>
          <w:b/>
          <w:bCs/>
        </w:rPr>
        <w:t>10</w:t>
      </w:r>
      <w:r w:rsidRPr="00C85D49">
        <w:rPr>
          <w:b/>
          <w:bCs/>
        </w:rPr>
        <w:t xml:space="preserve">) Does </w:t>
      </w:r>
      <w:r w:rsidR="00DD0784">
        <w:rPr>
          <w:b/>
          <w:bCs/>
        </w:rPr>
        <w:t>MB</w:t>
      </w:r>
      <w:r w:rsidRPr="00C85D49">
        <w:rPr>
          <w:b/>
          <w:bCs/>
        </w:rPr>
        <w:t>L apply toward the 1,250 hours of work necessary for eligibility for FMLA leave?</w:t>
      </w:r>
    </w:p>
    <w:p w14:paraId="04F0174C" w14:textId="77777777" w:rsidR="00165209" w:rsidRPr="00C85D49" w:rsidRDefault="00165209" w:rsidP="00C52311">
      <w:pPr>
        <w:rPr>
          <w:b/>
          <w:bCs/>
        </w:rPr>
      </w:pPr>
    </w:p>
    <w:p w14:paraId="73265E44" w14:textId="401FA9E2" w:rsidR="00C52311" w:rsidRDefault="00C52311" w:rsidP="00C52311">
      <w:r>
        <w:t xml:space="preserve">No. State Personnel Board Rule 23, </w:t>
      </w:r>
      <w:r w:rsidRPr="00172EDE">
        <w:rPr>
          <w:i/>
          <w:iCs/>
        </w:rPr>
        <w:t>Family and Medical Leave</w:t>
      </w:r>
      <w:r>
        <w:t>, states that “</w:t>
      </w:r>
      <w:r w:rsidRPr="00172EDE">
        <w:t>holidays and time spent on paid or unpaid leave or suspension do not count toward the 1,250 hours.”</w:t>
      </w:r>
    </w:p>
    <w:p w14:paraId="34D20434" w14:textId="77777777" w:rsidR="00C52311" w:rsidRDefault="00C52311" w:rsidP="00C52311"/>
    <w:p w14:paraId="20E9F201" w14:textId="155B0359" w:rsidR="00C52311" w:rsidRDefault="00C52311" w:rsidP="00C52311">
      <w:pPr>
        <w:rPr>
          <w:b/>
          <w:bCs/>
        </w:rPr>
      </w:pPr>
      <w:r w:rsidRPr="00890BD2">
        <w:rPr>
          <w:b/>
          <w:bCs/>
        </w:rPr>
        <w:t>(1</w:t>
      </w:r>
      <w:r w:rsidR="00B870ED">
        <w:rPr>
          <w:b/>
          <w:bCs/>
        </w:rPr>
        <w:t>1</w:t>
      </w:r>
      <w:r w:rsidRPr="00890BD2">
        <w:rPr>
          <w:b/>
          <w:bCs/>
        </w:rPr>
        <w:t xml:space="preserve">) May an agency require an employee to take </w:t>
      </w:r>
      <w:r w:rsidR="00D61DA3">
        <w:rPr>
          <w:b/>
          <w:bCs/>
        </w:rPr>
        <w:t>MB</w:t>
      </w:r>
      <w:r w:rsidRPr="00890BD2">
        <w:rPr>
          <w:b/>
          <w:bCs/>
        </w:rPr>
        <w:t xml:space="preserve">L </w:t>
      </w:r>
      <w:r>
        <w:rPr>
          <w:b/>
          <w:bCs/>
        </w:rPr>
        <w:t xml:space="preserve">only </w:t>
      </w:r>
      <w:r w:rsidRPr="00890BD2">
        <w:rPr>
          <w:b/>
          <w:bCs/>
        </w:rPr>
        <w:t>in a continuous block?</w:t>
      </w:r>
    </w:p>
    <w:p w14:paraId="30E9E2F8" w14:textId="77777777" w:rsidR="00165209" w:rsidRPr="00890BD2" w:rsidRDefault="00165209" w:rsidP="00C52311">
      <w:pPr>
        <w:rPr>
          <w:b/>
          <w:bCs/>
        </w:rPr>
      </w:pPr>
    </w:p>
    <w:p w14:paraId="1D8D41F2" w14:textId="343C4710" w:rsidR="00C52311" w:rsidRDefault="00C52311" w:rsidP="00C52311">
      <w:r>
        <w:t xml:space="preserve">No. Although an agency may have a policy that requires FMLA leave for the birth of a child or placement of a child for adoption or foster care to be taken in a continuous block, the state law establishing </w:t>
      </w:r>
      <w:r w:rsidR="00D61DA3">
        <w:t>MBL</w:t>
      </w:r>
      <w:r>
        <w:t xml:space="preserve"> contains no such limitation.</w:t>
      </w:r>
      <w:r w:rsidR="00DD0784">
        <w:t xml:space="preserve"> </w:t>
      </w:r>
      <w:r w:rsidR="00D61DA3">
        <w:t>However, b</w:t>
      </w:r>
      <w:r w:rsidR="00DD0784">
        <w:t>ecause of the three-week limitation on use of MBL, an employee who does not use leave in a continuous block will not be able to use the full allotment of leave.</w:t>
      </w:r>
    </w:p>
    <w:p w14:paraId="75D9B017" w14:textId="77777777" w:rsidR="00C52311" w:rsidRDefault="00C52311" w:rsidP="00C52311"/>
    <w:p w14:paraId="3B456794" w14:textId="03FC92DE" w:rsidR="00C52311" w:rsidRDefault="00C52311" w:rsidP="00C52311">
      <w:pPr>
        <w:rPr>
          <w:b/>
          <w:bCs/>
        </w:rPr>
      </w:pPr>
      <w:r w:rsidRPr="00BE7526">
        <w:rPr>
          <w:b/>
          <w:bCs/>
        </w:rPr>
        <w:t>(1</w:t>
      </w:r>
      <w:r w:rsidR="00B870ED">
        <w:rPr>
          <w:b/>
          <w:bCs/>
        </w:rPr>
        <w:t>2</w:t>
      </w:r>
      <w:r w:rsidRPr="00BE7526">
        <w:rPr>
          <w:b/>
          <w:bCs/>
        </w:rPr>
        <w:t>) Is there a limitation o</w:t>
      </w:r>
      <w:r>
        <w:rPr>
          <w:b/>
          <w:bCs/>
        </w:rPr>
        <w:t>n</w:t>
      </w:r>
      <w:r w:rsidRPr="00BE7526">
        <w:rPr>
          <w:b/>
          <w:bCs/>
        </w:rPr>
        <w:t xml:space="preserve"> </w:t>
      </w:r>
      <w:r>
        <w:rPr>
          <w:b/>
          <w:bCs/>
        </w:rPr>
        <w:t xml:space="preserve">approving </w:t>
      </w:r>
      <w:r w:rsidR="00D61DA3">
        <w:rPr>
          <w:b/>
          <w:bCs/>
        </w:rPr>
        <w:t>MB</w:t>
      </w:r>
      <w:r>
        <w:rPr>
          <w:b/>
          <w:bCs/>
        </w:rPr>
        <w:t>L to be taken on an intermittent basis?</w:t>
      </w:r>
    </w:p>
    <w:p w14:paraId="1A588ADA" w14:textId="77777777" w:rsidR="00165209" w:rsidRDefault="00165209" w:rsidP="00C52311">
      <w:pPr>
        <w:rPr>
          <w:b/>
          <w:bCs/>
        </w:rPr>
      </w:pPr>
    </w:p>
    <w:p w14:paraId="74E53DF4" w14:textId="2F2512E9" w:rsidR="008F64C2" w:rsidRDefault="00D61DA3" w:rsidP="00D61DA3">
      <w:r>
        <w:t>Because of the three-week limitation on use of MBL, an employee who does not use leave in a continuous block will not be able to use the full allotment of leave.</w:t>
      </w:r>
    </w:p>
    <w:p w14:paraId="7A3D049F" w14:textId="11E748A4" w:rsidR="00D278E8" w:rsidRDefault="00D278E8" w:rsidP="00C52311"/>
    <w:p w14:paraId="70DA7F3C" w14:textId="52B64DEE" w:rsidR="00D278E8" w:rsidRPr="00C90300" w:rsidRDefault="00D278E8" w:rsidP="00C52311">
      <w:pPr>
        <w:rPr>
          <w:b/>
          <w:bCs/>
        </w:rPr>
      </w:pPr>
      <w:r w:rsidRPr="00C90300">
        <w:rPr>
          <w:b/>
          <w:bCs/>
        </w:rPr>
        <w:t>(1</w:t>
      </w:r>
      <w:r w:rsidR="00B870ED">
        <w:rPr>
          <w:b/>
          <w:bCs/>
        </w:rPr>
        <w:t>3</w:t>
      </w:r>
      <w:r w:rsidRPr="00C90300">
        <w:rPr>
          <w:b/>
          <w:bCs/>
        </w:rPr>
        <w:t xml:space="preserve">) Is </w:t>
      </w:r>
      <w:r w:rsidR="00D61DA3">
        <w:rPr>
          <w:b/>
          <w:bCs/>
        </w:rPr>
        <w:t>MB</w:t>
      </w:r>
      <w:r w:rsidRPr="00C90300">
        <w:rPr>
          <w:b/>
          <w:bCs/>
        </w:rPr>
        <w:t>L prorated for hourly employees?</w:t>
      </w:r>
    </w:p>
    <w:p w14:paraId="63C18027" w14:textId="115E554D" w:rsidR="00D278E8" w:rsidRPr="00C90300" w:rsidRDefault="00D278E8" w:rsidP="00C52311">
      <w:pPr>
        <w:rPr>
          <w:b/>
          <w:bCs/>
        </w:rPr>
      </w:pPr>
    </w:p>
    <w:p w14:paraId="6AFB2B7C" w14:textId="7EB70812" w:rsidR="00D278E8" w:rsidRDefault="00D278E8" w:rsidP="00C52311">
      <w:r w:rsidRPr="00C90300">
        <w:t>No. The state law does not provide that leave for hourly employees must be prorated. All eli</w:t>
      </w:r>
      <w:r w:rsidR="00935467" w:rsidRPr="00C90300">
        <w:t xml:space="preserve">gible employees may use up to </w:t>
      </w:r>
      <w:r w:rsidR="00D61DA3">
        <w:t>12</w:t>
      </w:r>
      <w:r w:rsidR="006D0A01">
        <w:t>0</w:t>
      </w:r>
      <w:r w:rsidR="00935467" w:rsidRPr="00C90300">
        <w:t xml:space="preserve"> hours of </w:t>
      </w:r>
      <w:r w:rsidR="00D61DA3">
        <w:t>MB</w:t>
      </w:r>
      <w:r w:rsidR="00935467" w:rsidRPr="00C90300">
        <w:t>L.</w:t>
      </w:r>
    </w:p>
    <w:p w14:paraId="2BB9D08B" w14:textId="77777777" w:rsidR="00F070EC" w:rsidRDefault="00F070EC" w:rsidP="00C52311"/>
    <w:p w14:paraId="70CD9D13" w14:textId="1B0FCEA0" w:rsidR="00AE37DE" w:rsidRDefault="00AE37DE" w:rsidP="00C52311"/>
    <w:p w14:paraId="2E2A1933" w14:textId="291272BE" w:rsidR="00D6594D" w:rsidRPr="00D6594D" w:rsidRDefault="00D6594D" w:rsidP="00D6594D">
      <w:pPr>
        <w:rPr>
          <w:b/>
          <w:bCs/>
        </w:rPr>
      </w:pPr>
      <w:r w:rsidRPr="00D6594D">
        <w:rPr>
          <w:b/>
          <w:bCs/>
        </w:rPr>
        <w:lastRenderedPageBreak/>
        <w:t>(1</w:t>
      </w:r>
      <w:r w:rsidR="00B870ED">
        <w:rPr>
          <w:b/>
          <w:bCs/>
        </w:rPr>
        <w:t>4</w:t>
      </w:r>
      <w:r w:rsidRPr="00D6594D">
        <w:rPr>
          <w:b/>
          <w:bCs/>
        </w:rPr>
        <w:t xml:space="preserve">) Can an employee receive </w:t>
      </w:r>
      <w:r w:rsidR="00D61DA3">
        <w:rPr>
          <w:b/>
          <w:bCs/>
        </w:rPr>
        <w:t>MB</w:t>
      </w:r>
      <w:r w:rsidRPr="00D6594D">
        <w:rPr>
          <w:b/>
          <w:bCs/>
        </w:rPr>
        <w:t xml:space="preserve">L while on short-term disability? </w:t>
      </w:r>
    </w:p>
    <w:p w14:paraId="2A297C42" w14:textId="77777777" w:rsidR="00C32C66" w:rsidRDefault="00C32C66" w:rsidP="00C32C66"/>
    <w:p w14:paraId="1D2FCEFC" w14:textId="5A768ED0" w:rsidR="00F46DA2" w:rsidRDefault="00634916" w:rsidP="00C32C66">
      <w:pPr>
        <w:rPr>
          <w:b/>
          <w:bCs/>
        </w:rPr>
      </w:pPr>
      <w:r>
        <w:t xml:space="preserve">We are awaiting information from the State’s short-term disability provider and expect to receive it soon. </w:t>
      </w:r>
      <w:r w:rsidR="00E11FF0">
        <w:t>This FAQ will be updated as soon as the information is received.</w:t>
      </w:r>
    </w:p>
    <w:p w14:paraId="0544B002" w14:textId="77777777" w:rsidR="00B870ED" w:rsidRDefault="00B870ED" w:rsidP="00C32C66">
      <w:pPr>
        <w:pStyle w:val="Heading1"/>
        <w:tabs>
          <w:tab w:val="left" w:pos="832"/>
        </w:tabs>
        <w:ind w:left="0" w:firstLine="0"/>
        <w:rPr>
          <w:sz w:val="22"/>
          <w:szCs w:val="22"/>
        </w:rPr>
      </w:pPr>
    </w:p>
    <w:p w14:paraId="21CDB887" w14:textId="0398047E" w:rsidR="00D74444" w:rsidRDefault="00D74444" w:rsidP="00C32C66">
      <w:pPr>
        <w:pStyle w:val="Heading1"/>
        <w:tabs>
          <w:tab w:val="left" w:pos="832"/>
        </w:tabs>
        <w:ind w:left="0" w:firstLine="0"/>
        <w:rPr>
          <w:sz w:val="22"/>
          <w:szCs w:val="22"/>
        </w:rPr>
      </w:pPr>
      <w:r w:rsidRPr="00D74444">
        <w:rPr>
          <w:sz w:val="22"/>
          <w:szCs w:val="22"/>
        </w:rPr>
        <w:t>(1</w:t>
      </w:r>
      <w:r w:rsidR="00B870ED">
        <w:rPr>
          <w:sz w:val="22"/>
          <w:szCs w:val="22"/>
        </w:rPr>
        <w:t>5</w:t>
      </w:r>
      <w:r w:rsidRPr="00D74444">
        <w:rPr>
          <w:sz w:val="22"/>
          <w:szCs w:val="22"/>
        </w:rPr>
        <w:t>) If a state holiday falls during an employee’s MBL, does the employee receive paid leave as well as holiday pay?</w:t>
      </w:r>
    </w:p>
    <w:p w14:paraId="5985E9CC" w14:textId="77777777" w:rsidR="00C32C66" w:rsidRPr="00D74444" w:rsidRDefault="00C32C66" w:rsidP="00C32C66">
      <w:pPr>
        <w:pStyle w:val="Heading1"/>
        <w:tabs>
          <w:tab w:val="left" w:pos="832"/>
        </w:tabs>
        <w:ind w:left="0" w:firstLine="0"/>
        <w:rPr>
          <w:sz w:val="22"/>
          <w:szCs w:val="22"/>
        </w:rPr>
      </w:pPr>
    </w:p>
    <w:p w14:paraId="32DD7D00" w14:textId="64686B7B" w:rsidR="00D74444" w:rsidRDefault="00D74444" w:rsidP="00C32C66">
      <w:pPr>
        <w:pStyle w:val="Heading1"/>
        <w:tabs>
          <w:tab w:val="left" w:pos="832"/>
        </w:tabs>
        <w:ind w:left="0" w:firstLine="0"/>
        <w:rPr>
          <w:b w:val="0"/>
          <w:bCs w:val="0"/>
          <w:sz w:val="22"/>
          <w:szCs w:val="22"/>
        </w:rPr>
      </w:pPr>
      <w:r>
        <w:rPr>
          <w:b w:val="0"/>
          <w:bCs w:val="0"/>
          <w:sz w:val="22"/>
          <w:szCs w:val="22"/>
        </w:rPr>
        <w:t xml:space="preserve">If a paid state holiday takes place during an eligible employee’s maternal birth leave, the employee </w:t>
      </w:r>
      <w:r w:rsidR="0063010D">
        <w:rPr>
          <w:b w:val="0"/>
          <w:bCs w:val="0"/>
          <w:sz w:val="22"/>
          <w:szCs w:val="22"/>
        </w:rPr>
        <w:t>will</w:t>
      </w:r>
      <w:r>
        <w:rPr>
          <w:b w:val="0"/>
          <w:bCs w:val="0"/>
          <w:sz w:val="22"/>
          <w:szCs w:val="22"/>
        </w:rPr>
        <w:t xml:space="preserve"> be compensated </w:t>
      </w:r>
      <w:r w:rsidR="0063010D">
        <w:rPr>
          <w:b w:val="0"/>
          <w:bCs w:val="0"/>
          <w:sz w:val="22"/>
          <w:szCs w:val="22"/>
        </w:rPr>
        <w:t xml:space="preserve">only </w:t>
      </w:r>
      <w:r>
        <w:rPr>
          <w:b w:val="0"/>
          <w:bCs w:val="0"/>
          <w:sz w:val="22"/>
          <w:szCs w:val="22"/>
        </w:rPr>
        <w:t>for the state holiday.</w:t>
      </w:r>
    </w:p>
    <w:p w14:paraId="77160254" w14:textId="22643F69" w:rsidR="00873849" w:rsidRDefault="00873849" w:rsidP="0048024B">
      <w:pPr>
        <w:pStyle w:val="Heading1"/>
        <w:tabs>
          <w:tab w:val="left" w:pos="832"/>
        </w:tabs>
        <w:ind w:left="0" w:firstLine="0"/>
        <w:rPr>
          <w:b w:val="0"/>
          <w:bCs w:val="0"/>
          <w:sz w:val="22"/>
          <w:szCs w:val="22"/>
        </w:rPr>
      </w:pPr>
    </w:p>
    <w:p w14:paraId="59721897" w14:textId="2E30971B" w:rsidR="002078A9" w:rsidRDefault="002078A9" w:rsidP="00C32C66">
      <w:pPr>
        <w:pStyle w:val="Heading1"/>
        <w:tabs>
          <w:tab w:val="left" w:pos="832"/>
        </w:tabs>
        <w:ind w:left="0" w:firstLine="0"/>
        <w:rPr>
          <w:sz w:val="22"/>
          <w:szCs w:val="22"/>
        </w:rPr>
      </w:pPr>
      <w:r>
        <w:rPr>
          <w:sz w:val="22"/>
          <w:szCs w:val="22"/>
        </w:rPr>
        <w:t>(1</w:t>
      </w:r>
      <w:r w:rsidR="00B870ED">
        <w:rPr>
          <w:sz w:val="22"/>
          <w:szCs w:val="22"/>
        </w:rPr>
        <w:t>6</w:t>
      </w:r>
      <w:r>
        <w:rPr>
          <w:sz w:val="22"/>
          <w:szCs w:val="22"/>
        </w:rPr>
        <w:t xml:space="preserve">) How </w:t>
      </w:r>
      <w:r w:rsidR="000A0BE1">
        <w:rPr>
          <w:sz w:val="22"/>
          <w:szCs w:val="22"/>
        </w:rPr>
        <w:t>should an agency</w:t>
      </w:r>
      <w:r>
        <w:rPr>
          <w:sz w:val="22"/>
          <w:szCs w:val="22"/>
        </w:rPr>
        <w:t xml:space="preserve"> communicate the availability of </w:t>
      </w:r>
      <w:r w:rsidR="00D61DA3">
        <w:rPr>
          <w:sz w:val="22"/>
          <w:szCs w:val="22"/>
        </w:rPr>
        <w:t>MB</w:t>
      </w:r>
      <w:r>
        <w:rPr>
          <w:sz w:val="22"/>
          <w:szCs w:val="22"/>
        </w:rPr>
        <w:t>L?</w:t>
      </w:r>
    </w:p>
    <w:p w14:paraId="33CA3BB2" w14:textId="77777777" w:rsidR="00C32C66" w:rsidRDefault="00C32C66" w:rsidP="00C32C66">
      <w:pPr>
        <w:pStyle w:val="Heading1"/>
        <w:tabs>
          <w:tab w:val="left" w:pos="832"/>
        </w:tabs>
        <w:ind w:left="0" w:firstLine="0"/>
        <w:rPr>
          <w:sz w:val="22"/>
          <w:szCs w:val="22"/>
        </w:rPr>
      </w:pPr>
    </w:p>
    <w:p w14:paraId="3AB9A8BC" w14:textId="48771CD5" w:rsidR="002078A9" w:rsidRDefault="00D61DA3" w:rsidP="00C32C66">
      <w:pPr>
        <w:pStyle w:val="Heading1"/>
        <w:tabs>
          <w:tab w:val="left" w:pos="832"/>
        </w:tabs>
        <w:ind w:left="0" w:firstLine="0"/>
        <w:rPr>
          <w:b w:val="0"/>
          <w:bCs w:val="0"/>
          <w:sz w:val="22"/>
          <w:szCs w:val="22"/>
        </w:rPr>
      </w:pPr>
      <w:r>
        <w:rPr>
          <w:b w:val="0"/>
          <w:bCs w:val="0"/>
          <w:sz w:val="22"/>
          <w:szCs w:val="22"/>
        </w:rPr>
        <w:t>The law establishing MBL r</w:t>
      </w:r>
      <w:r w:rsidR="002078A9">
        <w:rPr>
          <w:b w:val="0"/>
          <w:bCs w:val="0"/>
          <w:sz w:val="22"/>
          <w:szCs w:val="22"/>
        </w:rPr>
        <w:t>equire</w:t>
      </w:r>
      <w:r>
        <w:rPr>
          <w:b w:val="0"/>
          <w:bCs w:val="0"/>
          <w:sz w:val="22"/>
          <w:szCs w:val="22"/>
        </w:rPr>
        <w:t>s</w:t>
      </w:r>
      <w:r w:rsidR="002078A9">
        <w:rPr>
          <w:b w:val="0"/>
          <w:bCs w:val="0"/>
          <w:sz w:val="22"/>
          <w:szCs w:val="22"/>
        </w:rPr>
        <w:t xml:space="preserve"> agencies to communicate the potential availability of </w:t>
      </w:r>
      <w:r>
        <w:rPr>
          <w:b w:val="0"/>
          <w:bCs w:val="0"/>
          <w:sz w:val="22"/>
          <w:szCs w:val="22"/>
        </w:rPr>
        <w:t>MB</w:t>
      </w:r>
      <w:r w:rsidR="002078A9">
        <w:rPr>
          <w:b w:val="0"/>
          <w:bCs w:val="0"/>
          <w:sz w:val="22"/>
          <w:szCs w:val="22"/>
        </w:rPr>
        <w:t xml:space="preserve">L to employees upon hire </w:t>
      </w:r>
      <w:r w:rsidR="009E13D2">
        <w:rPr>
          <w:b w:val="0"/>
          <w:bCs w:val="0"/>
          <w:sz w:val="22"/>
          <w:szCs w:val="22"/>
        </w:rPr>
        <w:t>and annually thereafter. Agencies have discretion to determine the form of the communication.</w:t>
      </w:r>
    </w:p>
    <w:p w14:paraId="5B03B68C" w14:textId="77777777" w:rsidR="00B94BDE" w:rsidRPr="002078A9" w:rsidRDefault="00B94BDE" w:rsidP="00C52311">
      <w:pPr>
        <w:pStyle w:val="Heading1"/>
        <w:tabs>
          <w:tab w:val="left" w:pos="832"/>
        </w:tabs>
        <w:spacing w:before="93"/>
        <w:ind w:left="0" w:firstLine="0"/>
        <w:rPr>
          <w:b w:val="0"/>
          <w:bCs w:val="0"/>
          <w:sz w:val="22"/>
          <w:szCs w:val="22"/>
        </w:rPr>
      </w:pPr>
    </w:p>
    <w:p w14:paraId="763C9E44" w14:textId="0E908021" w:rsidR="00EE4A26" w:rsidRDefault="00EE4A26" w:rsidP="00C52311">
      <w:pPr>
        <w:pStyle w:val="Heading1"/>
        <w:tabs>
          <w:tab w:val="left" w:pos="832"/>
        </w:tabs>
        <w:spacing w:before="93"/>
        <w:ind w:left="0" w:firstLine="0"/>
        <w:rPr>
          <w:b w:val="0"/>
          <w:bCs w:val="0"/>
          <w:sz w:val="22"/>
          <w:szCs w:val="22"/>
        </w:rPr>
      </w:pPr>
    </w:p>
    <w:p w14:paraId="0685D99F" w14:textId="77777777" w:rsidR="007367A4" w:rsidRDefault="007367A4" w:rsidP="00C52311">
      <w:pPr>
        <w:pStyle w:val="Heading1"/>
        <w:tabs>
          <w:tab w:val="left" w:pos="832"/>
        </w:tabs>
        <w:spacing w:before="93"/>
        <w:ind w:left="0" w:firstLine="0"/>
        <w:rPr>
          <w:b w:val="0"/>
          <w:bCs w:val="0"/>
          <w:sz w:val="22"/>
          <w:szCs w:val="22"/>
        </w:rPr>
      </w:pPr>
    </w:p>
    <w:p w14:paraId="3C692E0C" w14:textId="77777777" w:rsidR="007367A4" w:rsidRDefault="007367A4" w:rsidP="00C52311">
      <w:pPr>
        <w:pStyle w:val="Heading1"/>
        <w:tabs>
          <w:tab w:val="left" w:pos="832"/>
        </w:tabs>
        <w:spacing w:before="93"/>
        <w:ind w:left="0" w:firstLine="0"/>
        <w:rPr>
          <w:b w:val="0"/>
          <w:bCs w:val="0"/>
          <w:sz w:val="22"/>
          <w:szCs w:val="22"/>
        </w:rPr>
      </w:pPr>
    </w:p>
    <w:p w14:paraId="01039FD2" w14:textId="77777777" w:rsidR="007367A4" w:rsidRDefault="007367A4" w:rsidP="00C52311">
      <w:pPr>
        <w:pStyle w:val="Heading1"/>
        <w:tabs>
          <w:tab w:val="left" w:pos="832"/>
        </w:tabs>
        <w:spacing w:before="93"/>
        <w:ind w:left="0" w:firstLine="0"/>
        <w:rPr>
          <w:b w:val="0"/>
          <w:bCs w:val="0"/>
          <w:sz w:val="22"/>
          <w:szCs w:val="22"/>
        </w:rPr>
      </w:pPr>
    </w:p>
    <w:p w14:paraId="1F74222B" w14:textId="77777777" w:rsidR="007367A4" w:rsidRDefault="007367A4" w:rsidP="00C52311">
      <w:pPr>
        <w:pStyle w:val="Heading1"/>
        <w:tabs>
          <w:tab w:val="left" w:pos="832"/>
        </w:tabs>
        <w:spacing w:before="93"/>
        <w:ind w:left="0" w:firstLine="0"/>
        <w:rPr>
          <w:b w:val="0"/>
          <w:bCs w:val="0"/>
          <w:sz w:val="22"/>
          <w:szCs w:val="22"/>
        </w:rPr>
      </w:pPr>
    </w:p>
    <w:p w14:paraId="15880FCB" w14:textId="77777777" w:rsidR="007367A4" w:rsidRDefault="007367A4" w:rsidP="00C52311">
      <w:pPr>
        <w:pStyle w:val="Heading1"/>
        <w:tabs>
          <w:tab w:val="left" w:pos="832"/>
        </w:tabs>
        <w:spacing w:before="93"/>
        <w:ind w:left="0" w:firstLine="0"/>
        <w:rPr>
          <w:b w:val="0"/>
          <w:bCs w:val="0"/>
          <w:sz w:val="22"/>
          <w:szCs w:val="22"/>
        </w:rPr>
      </w:pPr>
    </w:p>
    <w:p w14:paraId="6DAD75F4" w14:textId="77777777" w:rsidR="007367A4" w:rsidRDefault="007367A4" w:rsidP="00C52311">
      <w:pPr>
        <w:pStyle w:val="Heading1"/>
        <w:tabs>
          <w:tab w:val="left" w:pos="832"/>
        </w:tabs>
        <w:spacing w:before="93"/>
        <w:ind w:left="0" w:firstLine="0"/>
        <w:rPr>
          <w:b w:val="0"/>
          <w:bCs w:val="0"/>
          <w:sz w:val="22"/>
          <w:szCs w:val="22"/>
        </w:rPr>
      </w:pPr>
    </w:p>
    <w:p w14:paraId="4B5D6877" w14:textId="77777777" w:rsidR="007367A4" w:rsidRDefault="007367A4" w:rsidP="00C52311">
      <w:pPr>
        <w:pStyle w:val="Heading1"/>
        <w:tabs>
          <w:tab w:val="left" w:pos="832"/>
        </w:tabs>
        <w:spacing w:before="93"/>
        <w:ind w:left="0" w:firstLine="0"/>
        <w:rPr>
          <w:b w:val="0"/>
          <w:bCs w:val="0"/>
          <w:sz w:val="22"/>
          <w:szCs w:val="22"/>
        </w:rPr>
      </w:pPr>
    </w:p>
    <w:p w14:paraId="3D2860E5" w14:textId="77777777" w:rsidR="007367A4" w:rsidRDefault="007367A4" w:rsidP="00C52311">
      <w:pPr>
        <w:pStyle w:val="Heading1"/>
        <w:tabs>
          <w:tab w:val="left" w:pos="832"/>
        </w:tabs>
        <w:spacing w:before="93"/>
        <w:ind w:left="0" w:firstLine="0"/>
        <w:rPr>
          <w:b w:val="0"/>
          <w:bCs w:val="0"/>
          <w:sz w:val="22"/>
          <w:szCs w:val="22"/>
        </w:rPr>
      </w:pPr>
    </w:p>
    <w:p w14:paraId="6B9C8C50" w14:textId="77777777" w:rsidR="007367A4" w:rsidRDefault="007367A4" w:rsidP="00C52311">
      <w:pPr>
        <w:pStyle w:val="Heading1"/>
        <w:tabs>
          <w:tab w:val="left" w:pos="832"/>
        </w:tabs>
        <w:spacing w:before="93"/>
        <w:ind w:left="0" w:firstLine="0"/>
        <w:rPr>
          <w:b w:val="0"/>
          <w:bCs w:val="0"/>
          <w:sz w:val="22"/>
          <w:szCs w:val="22"/>
        </w:rPr>
      </w:pPr>
    </w:p>
    <w:p w14:paraId="2CFF0309" w14:textId="77777777" w:rsidR="007367A4" w:rsidRDefault="007367A4" w:rsidP="00C52311">
      <w:pPr>
        <w:pStyle w:val="Heading1"/>
        <w:tabs>
          <w:tab w:val="left" w:pos="832"/>
        </w:tabs>
        <w:spacing w:before="93"/>
        <w:ind w:left="0" w:firstLine="0"/>
        <w:rPr>
          <w:b w:val="0"/>
          <w:bCs w:val="0"/>
          <w:sz w:val="22"/>
          <w:szCs w:val="22"/>
        </w:rPr>
      </w:pPr>
    </w:p>
    <w:p w14:paraId="2E7075DE" w14:textId="77777777" w:rsidR="0048024B" w:rsidRDefault="0048024B" w:rsidP="00C52311">
      <w:pPr>
        <w:pStyle w:val="Heading1"/>
        <w:tabs>
          <w:tab w:val="left" w:pos="832"/>
        </w:tabs>
        <w:spacing w:before="93"/>
        <w:ind w:left="0" w:firstLine="0"/>
        <w:rPr>
          <w:b w:val="0"/>
          <w:bCs w:val="0"/>
          <w:sz w:val="22"/>
          <w:szCs w:val="22"/>
        </w:rPr>
      </w:pPr>
    </w:p>
    <w:p w14:paraId="60BD6B88" w14:textId="77777777" w:rsidR="007367A4" w:rsidRDefault="007367A4" w:rsidP="00C52311">
      <w:pPr>
        <w:pStyle w:val="Heading1"/>
        <w:tabs>
          <w:tab w:val="left" w:pos="832"/>
        </w:tabs>
        <w:spacing w:before="93"/>
        <w:ind w:left="0" w:firstLine="0"/>
        <w:rPr>
          <w:b w:val="0"/>
          <w:bCs w:val="0"/>
          <w:sz w:val="22"/>
          <w:szCs w:val="22"/>
        </w:rPr>
      </w:pPr>
    </w:p>
    <w:p w14:paraId="0ABEC53B" w14:textId="77777777" w:rsidR="007367A4" w:rsidRDefault="007367A4" w:rsidP="00C52311">
      <w:pPr>
        <w:pStyle w:val="Heading1"/>
        <w:tabs>
          <w:tab w:val="left" w:pos="832"/>
        </w:tabs>
        <w:spacing w:before="93"/>
        <w:ind w:left="0" w:firstLine="0"/>
        <w:rPr>
          <w:b w:val="0"/>
          <w:bCs w:val="0"/>
          <w:sz w:val="22"/>
          <w:szCs w:val="22"/>
        </w:rPr>
      </w:pPr>
    </w:p>
    <w:p w14:paraId="64D5A10B" w14:textId="77777777" w:rsidR="007367A4" w:rsidRDefault="007367A4" w:rsidP="00C52311">
      <w:pPr>
        <w:pStyle w:val="Heading1"/>
        <w:tabs>
          <w:tab w:val="left" w:pos="832"/>
        </w:tabs>
        <w:spacing w:before="93"/>
        <w:ind w:left="0" w:firstLine="0"/>
        <w:rPr>
          <w:b w:val="0"/>
          <w:bCs w:val="0"/>
          <w:sz w:val="22"/>
          <w:szCs w:val="22"/>
        </w:rPr>
      </w:pPr>
    </w:p>
    <w:p w14:paraId="19172D17" w14:textId="77777777" w:rsidR="007367A4" w:rsidRDefault="007367A4" w:rsidP="00C52311">
      <w:pPr>
        <w:pStyle w:val="Heading1"/>
        <w:tabs>
          <w:tab w:val="left" w:pos="832"/>
        </w:tabs>
        <w:spacing w:before="93"/>
        <w:ind w:left="0" w:firstLine="0"/>
        <w:rPr>
          <w:b w:val="0"/>
          <w:bCs w:val="0"/>
          <w:sz w:val="22"/>
          <w:szCs w:val="22"/>
        </w:rPr>
      </w:pPr>
    </w:p>
    <w:p w14:paraId="777AC158" w14:textId="77777777" w:rsidR="00303809" w:rsidRDefault="00303809" w:rsidP="00C52311">
      <w:pPr>
        <w:pStyle w:val="Heading1"/>
        <w:tabs>
          <w:tab w:val="left" w:pos="832"/>
        </w:tabs>
        <w:spacing w:before="93"/>
        <w:ind w:left="0" w:firstLine="0"/>
        <w:rPr>
          <w:b w:val="0"/>
          <w:bCs w:val="0"/>
          <w:sz w:val="22"/>
          <w:szCs w:val="22"/>
        </w:rPr>
      </w:pPr>
    </w:p>
    <w:p w14:paraId="437EBAC9" w14:textId="77777777" w:rsidR="00303809" w:rsidRDefault="00303809" w:rsidP="00C52311">
      <w:pPr>
        <w:pStyle w:val="Heading1"/>
        <w:tabs>
          <w:tab w:val="left" w:pos="832"/>
        </w:tabs>
        <w:spacing w:before="93"/>
        <w:ind w:left="0" w:firstLine="0"/>
        <w:rPr>
          <w:b w:val="0"/>
          <w:bCs w:val="0"/>
          <w:sz w:val="22"/>
          <w:szCs w:val="22"/>
        </w:rPr>
      </w:pPr>
    </w:p>
    <w:p w14:paraId="2F4941A3" w14:textId="77777777" w:rsidR="00303809" w:rsidRDefault="00303809" w:rsidP="00C52311">
      <w:pPr>
        <w:pStyle w:val="Heading1"/>
        <w:tabs>
          <w:tab w:val="left" w:pos="832"/>
        </w:tabs>
        <w:spacing w:before="93"/>
        <w:ind w:left="0" w:firstLine="0"/>
        <w:rPr>
          <w:b w:val="0"/>
          <w:bCs w:val="0"/>
          <w:sz w:val="22"/>
          <w:szCs w:val="22"/>
        </w:rPr>
      </w:pPr>
    </w:p>
    <w:p w14:paraId="3306D162" w14:textId="77777777" w:rsidR="00303809" w:rsidRDefault="00303809" w:rsidP="00C52311">
      <w:pPr>
        <w:pStyle w:val="Heading1"/>
        <w:tabs>
          <w:tab w:val="left" w:pos="832"/>
        </w:tabs>
        <w:spacing w:before="93"/>
        <w:ind w:left="0" w:firstLine="0"/>
        <w:rPr>
          <w:b w:val="0"/>
          <w:bCs w:val="0"/>
          <w:sz w:val="22"/>
          <w:szCs w:val="22"/>
        </w:rPr>
      </w:pPr>
    </w:p>
    <w:p w14:paraId="0EFC82AE" w14:textId="77777777" w:rsidR="00303809" w:rsidRDefault="00303809" w:rsidP="00C52311">
      <w:pPr>
        <w:pStyle w:val="Heading1"/>
        <w:tabs>
          <w:tab w:val="left" w:pos="832"/>
        </w:tabs>
        <w:spacing w:before="93"/>
        <w:ind w:left="0" w:firstLine="0"/>
        <w:rPr>
          <w:b w:val="0"/>
          <w:bCs w:val="0"/>
          <w:sz w:val="22"/>
          <w:szCs w:val="22"/>
        </w:rPr>
      </w:pPr>
    </w:p>
    <w:p w14:paraId="6702BB70" w14:textId="77777777" w:rsidR="00303809" w:rsidRDefault="00303809" w:rsidP="00C52311">
      <w:pPr>
        <w:pStyle w:val="Heading1"/>
        <w:tabs>
          <w:tab w:val="left" w:pos="832"/>
        </w:tabs>
        <w:spacing w:before="93"/>
        <w:ind w:left="0" w:firstLine="0"/>
        <w:rPr>
          <w:b w:val="0"/>
          <w:bCs w:val="0"/>
          <w:sz w:val="22"/>
          <w:szCs w:val="22"/>
        </w:rPr>
      </w:pPr>
    </w:p>
    <w:p w14:paraId="4604EFA1" w14:textId="77777777" w:rsidR="00303809" w:rsidRDefault="00303809" w:rsidP="00C52311">
      <w:pPr>
        <w:pStyle w:val="Heading1"/>
        <w:tabs>
          <w:tab w:val="left" w:pos="832"/>
        </w:tabs>
        <w:spacing w:before="93"/>
        <w:ind w:left="0" w:firstLine="0"/>
        <w:rPr>
          <w:b w:val="0"/>
          <w:bCs w:val="0"/>
          <w:sz w:val="22"/>
          <w:szCs w:val="22"/>
        </w:rPr>
      </w:pPr>
    </w:p>
    <w:p w14:paraId="61B7FB0D" w14:textId="77777777" w:rsidR="00303809" w:rsidRDefault="00303809" w:rsidP="00C52311">
      <w:pPr>
        <w:pStyle w:val="Heading1"/>
        <w:tabs>
          <w:tab w:val="left" w:pos="832"/>
        </w:tabs>
        <w:spacing w:before="93"/>
        <w:ind w:left="0" w:firstLine="0"/>
        <w:rPr>
          <w:b w:val="0"/>
          <w:bCs w:val="0"/>
          <w:sz w:val="22"/>
          <w:szCs w:val="22"/>
        </w:rPr>
      </w:pPr>
    </w:p>
    <w:p w14:paraId="774535AF" w14:textId="77777777" w:rsidR="00303809" w:rsidRDefault="00303809" w:rsidP="00C52311">
      <w:pPr>
        <w:pStyle w:val="Heading1"/>
        <w:tabs>
          <w:tab w:val="left" w:pos="832"/>
        </w:tabs>
        <w:spacing w:before="93"/>
        <w:ind w:left="0" w:firstLine="0"/>
        <w:rPr>
          <w:b w:val="0"/>
          <w:bCs w:val="0"/>
          <w:sz w:val="22"/>
          <w:szCs w:val="22"/>
        </w:rPr>
      </w:pPr>
    </w:p>
    <w:p w14:paraId="134C768F" w14:textId="77777777" w:rsidR="00303809" w:rsidRDefault="00303809" w:rsidP="00C52311">
      <w:pPr>
        <w:pStyle w:val="Heading1"/>
        <w:tabs>
          <w:tab w:val="left" w:pos="832"/>
        </w:tabs>
        <w:spacing w:before="93"/>
        <w:ind w:left="0" w:firstLine="0"/>
        <w:rPr>
          <w:b w:val="0"/>
          <w:bCs w:val="0"/>
          <w:sz w:val="22"/>
          <w:szCs w:val="22"/>
        </w:rPr>
      </w:pPr>
    </w:p>
    <w:p w14:paraId="2F024291" w14:textId="77777777" w:rsidR="00303809" w:rsidRDefault="00303809" w:rsidP="00C52311">
      <w:pPr>
        <w:pStyle w:val="Heading1"/>
        <w:tabs>
          <w:tab w:val="left" w:pos="832"/>
        </w:tabs>
        <w:spacing w:before="93"/>
        <w:ind w:left="0" w:firstLine="0"/>
        <w:rPr>
          <w:b w:val="0"/>
          <w:bCs w:val="0"/>
          <w:sz w:val="22"/>
          <w:szCs w:val="22"/>
        </w:rPr>
      </w:pPr>
    </w:p>
    <w:p w14:paraId="6A396ED9" w14:textId="77777777" w:rsidR="00303809" w:rsidRDefault="00303809" w:rsidP="00C52311">
      <w:pPr>
        <w:pStyle w:val="Heading1"/>
        <w:tabs>
          <w:tab w:val="left" w:pos="832"/>
        </w:tabs>
        <w:spacing w:before="93"/>
        <w:ind w:left="0" w:firstLine="0"/>
        <w:rPr>
          <w:b w:val="0"/>
          <w:bCs w:val="0"/>
          <w:sz w:val="22"/>
          <w:szCs w:val="22"/>
        </w:rPr>
      </w:pPr>
    </w:p>
    <w:p w14:paraId="17DD0566" w14:textId="77777777" w:rsidR="00303809" w:rsidRDefault="00303809" w:rsidP="00C52311">
      <w:pPr>
        <w:pStyle w:val="Heading1"/>
        <w:tabs>
          <w:tab w:val="left" w:pos="832"/>
        </w:tabs>
        <w:spacing w:before="93"/>
        <w:ind w:left="0" w:firstLine="0"/>
        <w:rPr>
          <w:b w:val="0"/>
          <w:bCs w:val="0"/>
          <w:sz w:val="22"/>
          <w:szCs w:val="22"/>
        </w:rPr>
      </w:pPr>
    </w:p>
    <w:p w14:paraId="5EC3BBEB" w14:textId="28E97922" w:rsidR="00EE4A26" w:rsidRDefault="00EE4A26" w:rsidP="003640FD">
      <w:pPr>
        <w:widowControl/>
        <w:autoSpaceDE/>
        <w:autoSpaceDN/>
        <w:rPr>
          <w:rFonts w:eastAsia="Times New Roman" w:cs="Times New Roman"/>
          <w:b/>
          <w:bCs/>
          <w:sz w:val="24"/>
          <w:szCs w:val="24"/>
          <w:lang w:bidi="ar-SA"/>
        </w:rPr>
      </w:pPr>
      <w:r>
        <w:rPr>
          <w:noProof/>
          <w:sz w:val="20"/>
          <w:szCs w:val="20"/>
        </w:rPr>
        <w:lastRenderedPageBreak/>
        <w:drawing>
          <wp:anchor distT="0" distB="0" distL="114300" distR="114300" simplePos="0" relativeHeight="251661312" behindDoc="0" locked="0" layoutInCell="1" allowOverlap="1" wp14:anchorId="3BFE0B38" wp14:editId="04074E12">
            <wp:simplePos x="0" y="0"/>
            <wp:positionH relativeFrom="margin">
              <wp:align>right</wp:align>
            </wp:positionH>
            <wp:positionV relativeFrom="paragraph">
              <wp:posOffset>-2540</wp:posOffset>
            </wp:positionV>
            <wp:extent cx="1371600" cy="886968"/>
            <wp:effectExtent l="0" t="0" r="0" b="8890"/>
            <wp:wrapNone/>
            <wp:docPr id="3" name="Picture 3" descr="\\psf\Home\Desktop\Logo Package\Brand Mark\Small\Jpg 300 for Office\TS_bmk_sm_rgb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f\Home\Desktop\Logo Package\Brand Mark\Small\Jpg 300 for Office\TS_bmk_sm_rgb_3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8869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154387" w14:textId="77777777" w:rsidR="00EE4A26" w:rsidRDefault="00EE4A26" w:rsidP="00EE4A26">
      <w:pPr>
        <w:widowControl/>
        <w:autoSpaceDE/>
        <w:autoSpaceDN/>
        <w:jc w:val="center"/>
        <w:rPr>
          <w:rFonts w:eastAsia="Times New Roman" w:cs="Times New Roman"/>
          <w:b/>
          <w:bCs/>
          <w:sz w:val="24"/>
          <w:szCs w:val="24"/>
          <w:lang w:bidi="ar-SA"/>
        </w:rPr>
      </w:pPr>
    </w:p>
    <w:p w14:paraId="6425E7DC" w14:textId="24218356" w:rsidR="00EE4A26" w:rsidRDefault="00EE4A26" w:rsidP="00EE4A26">
      <w:pPr>
        <w:widowControl/>
        <w:autoSpaceDE/>
        <w:autoSpaceDN/>
        <w:jc w:val="center"/>
        <w:rPr>
          <w:rFonts w:eastAsia="Times New Roman" w:cs="Times New Roman"/>
          <w:b/>
          <w:bCs/>
          <w:sz w:val="24"/>
          <w:szCs w:val="24"/>
          <w:lang w:bidi="ar-SA"/>
        </w:rPr>
      </w:pPr>
    </w:p>
    <w:p w14:paraId="42E51FAD" w14:textId="77777777" w:rsidR="00EE4A26" w:rsidRDefault="00EE4A26" w:rsidP="00EE4A26">
      <w:pPr>
        <w:widowControl/>
        <w:autoSpaceDE/>
        <w:autoSpaceDN/>
        <w:jc w:val="center"/>
        <w:rPr>
          <w:rFonts w:eastAsia="Times New Roman" w:cs="Times New Roman"/>
          <w:b/>
          <w:bCs/>
          <w:sz w:val="24"/>
          <w:szCs w:val="24"/>
          <w:lang w:bidi="ar-SA"/>
        </w:rPr>
      </w:pPr>
    </w:p>
    <w:p w14:paraId="7544D6EC" w14:textId="6FF379E9" w:rsidR="00EE4A26" w:rsidRDefault="00EE4A26" w:rsidP="00EE4A26">
      <w:pPr>
        <w:widowControl/>
        <w:autoSpaceDE/>
        <w:autoSpaceDN/>
        <w:jc w:val="center"/>
        <w:rPr>
          <w:rFonts w:eastAsia="Times New Roman" w:cs="Times New Roman"/>
          <w:b/>
          <w:bCs/>
          <w:sz w:val="24"/>
          <w:szCs w:val="24"/>
          <w:lang w:bidi="ar-SA"/>
        </w:rPr>
      </w:pPr>
      <w:r>
        <w:rPr>
          <w:rFonts w:eastAsia="Times New Roman" w:cs="Times New Roman"/>
          <w:b/>
          <w:bCs/>
          <w:sz w:val="24"/>
          <w:szCs w:val="24"/>
          <w:lang w:bidi="ar-SA"/>
        </w:rPr>
        <w:t>APPENDIX A</w:t>
      </w:r>
    </w:p>
    <w:p w14:paraId="3319E42E" w14:textId="46316A8F" w:rsidR="00EE4A26" w:rsidRDefault="00EE4A26" w:rsidP="00EE4A26">
      <w:pPr>
        <w:widowControl/>
        <w:autoSpaceDE/>
        <w:autoSpaceDN/>
        <w:jc w:val="center"/>
        <w:rPr>
          <w:rFonts w:eastAsia="Times New Roman" w:cs="Times New Roman"/>
          <w:b/>
          <w:bCs/>
          <w:sz w:val="24"/>
          <w:szCs w:val="24"/>
          <w:lang w:bidi="ar-SA"/>
        </w:rPr>
      </w:pPr>
    </w:p>
    <w:p w14:paraId="39584F66" w14:textId="1377310F" w:rsidR="00EE4A26" w:rsidRDefault="00EE4A26" w:rsidP="00EE4A26">
      <w:pPr>
        <w:widowControl/>
        <w:autoSpaceDE/>
        <w:autoSpaceDN/>
        <w:rPr>
          <w:rFonts w:eastAsia="Times New Roman" w:cs="Times New Roman"/>
          <w:b/>
          <w:bCs/>
          <w:sz w:val="24"/>
          <w:szCs w:val="24"/>
          <w:lang w:bidi="ar-SA"/>
        </w:rPr>
      </w:pPr>
    </w:p>
    <w:p w14:paraId="59C49A61" w14:textId="717F662E" w:rsidR="00EE4A26" w:rsidRPr="0076527C" w:rsidRDefault="00A16093" w:rsidP="00C52311">
      <w:pPr>
        <w:pStyle w:val="Heading1"/>
        <w:tabs>
          <w:tab w:val="left" w:pos="832"/>
        </w:tabs>
        <w:spacing w:before="93"/>
        <w:ind w:left="0" w:firstLine="0"/>
        <w:rPr>
          <w:b w:val="0"/>
          <w:bCs w:val="0"/>
          <w:sz w:val="22"/>
          <w:szCs w:val="22"/>
        </w:rPr>
      </w:pPr>
      <w:r>
        <w:rPr>
          <w:b w:val="0"/>
          <w:bCs w:val="0"/>
          <w:sz w:val="22"/>
          <w:szCs w:val="22"/>
        </w:rPr>
        <w:t xml:space="preserve">Awaiting information from </w:t>
      </w:r>
      <w:r>
        <w:rPr>
          <w:b w:val="0"/>
          <w:bCs w:val="0"/>
          <w:i/>
          <w:iCs/>
          <w:sz w:val="22"/>
          <w:szCs w:val="22"/>
        </w:rPr>
        <w:t>The Standard</w:t>
      </w:r>
      <w:r w:rsidR="0076527C">
        <w:rPr>
          <w:b w:val="0"/>
          <w:bCs w:val="0"/>
          <w:i/>
          <w:iCs/>
          <w:sz w:val="22"/>
          <w:szCs w:val="22"/>
        </w:rPr>
        <w:t xml:space="preserve"> </w:t>
      </w:r>
      <w:r w:rsidR="0076527C">
        <w:rPr>
          <w:b w:val="0"/>
          <w:bCs w:val="0"/>
          <w:sz w:val="22"/>
          <w:szCs w:val="22"/>
        </w:rPr>
        <w:t>to explain interaction of MBL with Short-term disability. We expect to receive the information soon.</w:t>
      </w:r>
      <w:r w:rsidR="00E11FF0">
        <w:rPr>
          <w:b w:val="0"/>
          <w:bCs w:val="0"/>
          <w:sz w:val="22"/>
          <w:szCs w:val="22"/>
        </w:rPr>
        <w:t xml:space="preserve"> Once received, the information will be inserted here.</w:t>
      </w:r>
    </w:p>
    <w:sectPr w:rsidR="00EE4A26" w:rsidRPr="0076527C" w:rsidSect="00A7383D">
      <w:footerReference w:type="default" r:id="rId9"/>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29A3D" w14:textId="77777777" w:rsidR="00A0331C" w:rsidRDefault="00A0331C">
      <w:r>
        <w:separator/>
      </w:r>
    </w:p>
  </w:endnote>
  <w:endnote w:type="continuationSeparator" w:id="0">
    <w:p w14:paraId="02781140" w14:textId="77777777" w:rsidR="00A0331C" w:rsidRDefault="00A0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9E73" w14:textId="72ABB483" w:rsidR="00F46DA2" w:rsidRDefault="0040427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9974A77" wp14:editId="65DD379F">
              <wp:simplePos x="0" y="0"/>
              <wp:positionH relativeFrom="page">
                <wp:posOffset>6673215</wp:posOffset>
              </wp:positionH>
              <wp:positionV relativeFrom="page">
                <wp:posOffset>9367520</wp:posOffset>
              </wp:positionV>
              <wp:extent cx="70993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D5AB2" w14:textId="77777777" w:rsidR="00F46DA2" w:rsidRDefault="004C3325">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r>
                            <w:rPr>
                              <w:rFonts w:ascii="Calibri"/>
                            </w:rPr>
                            <w:t xml:space="preserve"> | </w:t>
                          </w:r>
                          <w:r>
                            <w:rPr>
                              <w:rFonts w:ascii="Calibri"/>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74A77" id="_x0000_t202" coordsize="21600,21600" o:spt="202" path="m,l,21600r21600,l21600,xe">
              <v:stroke joinstyle="miter"/>
              <v:path gradientshapeok="t" o:connecttype="rect"/>
            </v:shapetype>
            <v:shape id="Text Box 1" o:spid="_x0000_s1026" type="#_x0000_t202" style="position:absolute;margin-left:525.45pt;margin-top:737.6pt;width:55.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" filled="f" stroked="f">
              <v:textbox inset="0,0,0,0">
                <w:txbxContent>
                  <w:p w14:paraId="681D5AB2" w14:textId="77777777" w:rsidR="00F46DA2" w:rsidRDefault="004C3325">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r>
                      <w:rPr>
                        <w:rFonts w:ascii="Calibri"/>
                      </w:rPr>
                      <w:t xml:space="preserve"> | </w:t>
                    </w:r>
                    <w:r>
                      <w:rPr>
                        <w:rFonts w:ascii="Calibri"/>
                        <w:color w:val="7E7E7E"/>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F24E5" w14:textId="77777777" w:rsidR="00A0331C" w:rsidRDefault="00A0331C">
      <w:r>
        <w:separator/>
      </w:r>
    </w:p>
  </w:footnote>
  <w:footnote w:type="continuationSeparator" w:id="0">
    <w:p w14:paraId="5AC1E133" w14:textId="77777777" w:rsidR="00A0331C" w:rsidRDefault="00A03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86B7D"/>
    <w:multiLevelType w:val="hybridMultilevel"/>
    <w:tmpl w:val="D486A3F2"/>
    <w:lvl w:ilvl="0" w:tplc="143C8F5E">
      <w:start w:val="13"/>
      <w:numFmt w:val="decimal"/>
      <w:lvlText w:val="%1."/>
      <w:lvlJc w:val="left"/>
      <w:pPr>
        <w:ind w:left="832" w:hanging="360"/>
        <w:jc w:val="left"/>
      </w:pPr>
      <w:rPr>
        <w:rFonts w:ascii="Arial" w:eastAsia="Arial" w:hAnsi="Arial" w:cs="Arial" w:hint="default"/>
        <w:b/>
        <w:bCs/>
        <w:w w:val="99"/>
        <w:sz w:val="24"/>
        <w:szCs w:val="24"/>
        <w:lang w:val="en-US" w:eastAsia="en-US" w:bidi="en-US"/>
      </w:rPr>
    </w:lvl>
    <w:lvl w:ilvl="1" w:tplc="6AEE882C">
      <w:numFmt w:val="bullet"/>
      <w:lvlText w:val="-"/>
      <w:lvlJc w:val="left"/>
      <w:pPr>
        <w:ind w:left="1192" w:hanging="361"/>
      </w:pPr>
      <w:rPr>
        <w:rFonts w:ascii="Arial" w:eastAsia="Arial" w:hAnsi="Arial" w:cs="Arial" w:hint="default"/>
        <w:spacing w:val="-3"/>
        <w:w w:val="99"/>
        <w:sz w:val="24"/>
        <w:szCs w:val="24"/>
        <w:lang w:val="en-US" w:eastAsia="en-US" w:bidi="en-US"/>
      </w:rPr>
    </w:lvl>
    <w:lvl w:ilvl="2" w:tplc="8A9E66E8">
      <w:numFmt w:val="bullet"/>
      <w:lvlText w:val="•"/>
      <w:lvlJc w:val="left"/>
      <w:pPr>
        <w:ind w:left="2342" w:hanging="361"/>
      </w:pPr>
      <w:rPr>
        <w:rFonts w:hint="default"/>
        <w:lang w:val="en-US" w:eastAsia="en-US" w:bidi="en-US"/>
      </w:rPr>
    </w:lvl>
    <w:lvl w:ilvl="3" w:tplc="6A5E170E">
      <w:numFmt w:val="bullet"/>
      <w:lvlText w:val="•"/>
      <w:lvlJc w:val="left"/>
      <w:pPr>
        <w:ind w:left="3484" w:hanging="361"/>
      </w:pPr>
      <w:rPr>
        <w:rFonts w:hint="default"/>
        <w:lang w:val="en-US" w:eastAsia="en-US" w:bidi="en-US"/>
      </w:rPr>
    </w:lvl>
    <w:lvl w:ilvl="4" w:tplc="CA28FDAE">
      <w:numFmt w:val="bullet"/>
      <w:lvlText w:val="•"/>
      <w:lvlJc w:val="left"/>
      <w:pPr>
        <w:ind w:left="4626" w:hanging="361"/>
      </w:pPr>
      <w:rPr>
        <w:rFonts w:hint="default"/>
        <w:lang w:val="en-US" w:eastAsia="en-US" w:bidi="en-US"/>
      </w:rPr>
    </w:lvl>
    <w:lvl w:ilvl="5" w:tplc="8A4AE27A">
      <w:numFmt w:val="bullet"/>
      <w:lvlText w:val="•"/>
      <w:lvlJc w:val="left"/>
      <w:pPr>
        <w:ind w:left="5768" w:hanging="361"/>
      </w:pPr>
      <w:rPr>
        <w:rFonts w:hint="default"/>
        <w:lang w:val="en-US" w:eastAsia="en-US" w:bidi="en-US"/>
      </w:rPr>
    </w:lvl>
    <w:lvl w:ilvl="6" w:tplc="E1CCD78E">
      <w:numFmt w:val="bullet"/>
      <w:lvlText w:val="•"/>
      <w:lvlJc w:val="left"/>
      <w:pPr>
        <w:ind w:left="6911" w:hanging="361"/>
      </w:pPr>
      <w:rPr>
        <w:rFonts w:hint="default"/>
        <w:lang w:val="en-US" w:eastAsia="en-US" w:bidi="en-US"/>
      </w:rPr>
    </w:lvl>
    <w:lvl w:ilvl="7" w:tplc="FF54D460">
      <w:numFmt w:val="bullet"/>
      <w:lvlText w:val="•"/>
      <w:lvlJc w:val="left"/>
      <w:pPr>
        <w:ind w:left="8053" w:hanging="361"/>
      </w:pPr>
      <w:rPr>
        <w:rFonts w:hint="default"/>
        <w:lang w:val="en-US" w:eastAsia="en-US" w:bidi="en-US"/>
      </w:rPr>
    </w:lvl>
    <w:lvl w:ilvl="8" w:tplc="20EEA5A0">
      <w:numFmt w:val="bullet"/>
      <w:lvlText w:val="•"/>
      <w:lvlJc w:val="left"/>
      <w:pPr>
        <w:ind w:left="9195" w:hanging="361"/>
      </w:pPr>
      <w:rPr>
        <w:rFonts w:hint="default"/>
        <w:lang w:val="en-US" w:eastAsia="en-US" w:bidi="en-US"/>
      </w:rPr>
    </w:lvl>
  </w:abstractNum>
  <w:abstractNum w:abstractNumId="1" w15:restartNumberingAfterBreak="0">
    <w:nsid w:val="3F571B5D"/>
    <w:multiLevelType w:val="hybridMultilevel"/>
    <w:tmpl w:val="E33E7F82"/>
    <w:lvl w:ilvl="0" w:tplc="1ECA7A8E">
      <w:start w:val="10"/>
      <w:numFmt w:val="decimal"/>
      <w:lvlText w:val="%1."/>
      <w:lvlJc w:val="left"/>
      <w:pPr>
        <w:ind w:left="832" w:hanging="360"/>
        <w:jc w:val="left"/>
      </w:pPr>
      <w:rPr>
        <w:rFonts w:ascii="Arial" w:eastAsia="Arial" w:hAnsi="Arial" w:cs="Arial" w:hint="default"/>
        <w:b/>
        <w:bCs/>
        <w:w w:val="99"/>
        <w:sz w:val="24"/>
        <w:szCs w:val="24"/>
        <w:lang w:val="en-US" w:eastAsia="en-US" w:bidi="en-US"/>
      </w:rPr>
    </w:lvl>
    <w:lvl w:ilvl="1" w:tplc="231E76E6">
      <w:numFmt w:val="bullet"/>
      <w:lvlText w:val="•"/>
      <w:lvlJc w:val="left"/>
      <w:pPr>
        <w:ind w:left="1904" w:hanging="360"/>
      </w:pPr>
      <w:rPr>
        <w:rFonts w:hint="default"/>
        <w:lang w:val="en-US" w:eastAsia="en-US" w:bidi="en-US"/>
      </w:rPr>
    </w:lvl>
    <w:lvl w:ilvl="2" w:tplc="C2666BAE">
      <w:numFmt w:val="bullet"/>
      <w:lvlText w:val="•"/>
      <w:lvlJc w:val="left"/>
      <w:pPr>
        <w:ind w:left="2968" w:hanging="360"/>
      </w:pPr>
      <w:rPr>
        <w:rFonts w:hint="default"/>
        <w:lang w:val="en-US" w:eastAsia="en-US" w:bidi="en-US"/>
      </w:rPr>
    </w:lvl>
    <w:lvl w:ilvl="3" w:tplc="740ECCD6">
      <w:numFmt w:val="bullet"/>
      <w:lvlText w:val="•"/>
      <w:lvlJc w:val="left"/>
      <w:pPr>
        <w:ind w:left="4032" w:hanging="360"/>
      </w:pPr>
      <w:rPr>
        <w:rFonts w:hint="default"/>
        <w:lang w:val="en-US" w:eastAsia="en-US" w:bidi="en-US"/>
      </w:rPr>
    </w:lvl>
    <w:lvl w:ilvl="4" w:tplc="A2DE901C">
      <w:numFmt w:val="bullet"/>
      <w:lvlText w:val="•"/>
      <w:lvlJc w:val="left"/>
      <w:pPr>
        <w:ind w:left="5096" w:hanging="360"/>
      </w:pPr>
      <w:rPr>
        <w:rFonts w:hint="default"/>
        <w:lang w:val="en-US" w:eastAsia="en-US" w:bidi="en-US"/>
      </w:rPr>
    </w:lvl>
    <w:lvl w:ilvl="5" w:tplc="1248B854">
      <w:numFmt w:val="bullet"/>
      <w:lvlText w:val="•"/>
      <w:lvlJc w:val="left"/>
      <w:pPr>
        <w:ind w:left="6160" w:hanging="360"/>
      </w:pPr>
      <w:rPr>
        <w:rFonts w:hint="default"/>
        <w:lang w:val="en-US" w:eastAsia="en-US" w:bidi="en-US"/>
      </w:rPr>
    </w:lvl>
    <w:lvl w:ilvl="6" w:tplc="2200B460">
      <w:numFmt w:val="bullet"/>
      <w:lvlText w:val="•"/>
      <w:lvlJc w:val="left"/>
      <w:pPr>
        <w:ind w:left="7224" w:hanging="360"/>
      </w:pPr>
      <w:rPr>
        <w:rFonts w:hint="default"/>
        <w:lang w:val="en-US" w:eastAsia="en-US" w:bidi="en-US"/>
      </w:rPr>
    </w:lvl>
    <w:lvl w:ilvl="7" w:tplc="608C6D26">
      <w:numFmt w:val="bullet"/>
      <w:lvlText w:val="•"/>
      <w:lvlJc w:val="left"/>
      <w:pPr>
        <w:ind w:left="8288" w:hanging="360"/>
      </w:pPr>
      <w:rPr>
        <w:rFonts w:hint="default"/>
        <w:lang w:val="en-US" w:eastAsia="en-US" w:bidi="en-US"/>
      </w:rPr>
    </w:lvl>
    <w:lvl w:ilvl="8" w:tplc="A5A08DEE">
      <w:numFmt w:val="bullet"/>
      <w:lvlText w:val="•"/>
      <w:lvlJc w:val="left"/>
      <w:pPr>
        <w:ind w:left="9352" w:hanging="360"/>
      </w:pPr>
      <w:rPr>
        <w:rFonts w:hint="default"/>
        <w:lang w:val="en-US" w:eastAsia="en-US" w:bidi="en-US"/>
      </w:rPr>
    </w:lvl>
  </w:abstractNum>
  <w:abstractNum w:abstractNumId="2" w15:restartNumberingAfterBreak="0">
    <w:nsid w:val="45EA56B3"/>
    <w:multiLevelType w:val="hybridMultilevel"/>
    <w:tmpl w:val="BC04598E"/>
    <w:lvl w:ilvl="0" w:tplc="FC90E044">
      <w:start w:val="1"/>
      <w:numFmt w:val="decimal"/>
      <w:lvlText w:val="%1."/>
      <w:lvlJc w:val="left"/>
      <w:pPr>
        <w:ind w:left="832" w:hanging="360"/>
        <w:jc w:val="left"/>
      </w:pPr>
      <w:rPr>
        <w:rFonts w:ascii="Arial" w:eastAsia="Arial" w:hAnsi="Arial" w:cs="Arial" w:hint="default"/>
        <w:b/>
        <w:bCs/>
        <w:spacing w:val="-2"/>
        <w:w w:val="99"/>
        <w:sz w:val="24"/>
        <w:szCs w:val="24"/>
        <w:lang w:val="en-US" w:eastAsia="en-US" w:bidi="en-US"/>
      </w:rPr>
    </w:lvl>
    <w:lvl w:ilvl="1" w:tplc="0DEA0F84">
      <w:start w:val="1"/>
      <w:numFmt w:val="decimal"/>
      <w:lvlText w:val="%2."/>
      <w:lvlJc w:val="left"/>
      <w:pPr>
        <w:ind w:left="1552" w:hanging="360"/>
        <w:jc w:val="left"/>
      </w:pPr>
      <w:rPr>
        <w:rFonts w:ascii="Arial" w:eastAsia="Arial" w:hAnsi="Arial" w:cs="Arial" w:hint="default"/>
        <w:spacing w:val="-33"/>
        <w:w w:val="99"/>
        <w:sz w:val="24"/>
        <w:szCs w:val="24"/>
        <w:lang w:val="en-US" w:eastAsia="en-US" w:bidi="en-US"/>
      </w:rPr>
    </w:lvl>
    <w:lvl w:ilvl="2" w:tplc="AB22EB88">
      <w:start w:val="1"/>
      <w:numFmt w:val="decimal"/>
      <w:lvlText w:val="%3)"/>
      <w:lvlJc w:val="left"/>
      <w:pPr>
        <w:ind w:left="2272" w:hanging="360"/>
        <w:jc w:val="left"/>
      </w:pPr>
      <w:rPr>
        <w:rFonts w:ascii="Arial" w:eastAsia="Arial" w:hAnsi="Arial" w:cs="Arial" w:hint="default"/>
        <w:w w:val="99"/>
        <w:sz w:val="24"/>
        <w:szCs w:val="24"/>
        <w:lang w:val="en-US" w:eastAsia="en-US" w:bidi="en-US"/>
      </w:rPr>
    </w:lvl>
    <w:lvl w:ilvl="3" w:tplc="5E428662">
      <w:numFmt w:val="bullet"/>
      <w:lvlText w:val="•"/>
      <w:lvlJc w:val="left"/>
      <w:pPr>
        <w:ind w:left="10520" w:hanging="360"/>
      </w:pPr>
      <w:rPr>
        <w:rFonts w:hint="default"/>
        <w:lang w:val="en-US" w:eastAsia="en-US" w:bidi="en-US"/>
      </w:rPr>
    </w:lvl>
    <w:lvl w:ilvl="4" w:tplc="EEDE7D26">
      <w:numFmt w:val="bullet"/>
      <w:lvlText w:val="•"/>
      <w:lvlJc w:val="left"/>
      <w:pPr>
        <w:ind w:left="10657" w:hanging="360"/>
      </w:pPr>
      <w:rPr>
        <w:rFonts w:hint="default"/>
        <w:lang w:val="en-US" w:eastAsia="en-US" w:bidi="en-US"/>
      </w:rPr>
    </w:lvl>
    <w:lvl w:ilvl="5" w:tplc="99061B12">
      <w:numFmt w:val="bullet"/>
      <w:lvlText w:val="•"/>
      <w:lvlJc w:val="left"/>
      <w:pPr>
        <w:ind w:left="10794" w:hanging="360"/>
      </w:pPr>
      <w:rPr>
        <w:rFonts w:hint="default"/>
        <w:lang w:val="en-US" w:eastAsia="en-US" w:bidi="en-US"/>
      </w:rPr>
    </w:lvl>
    <w:lvl w:ilvl="6" w:tplc="D03415EA">
      <w:numFmt w:val="bullet"/>
      <w:lvlText w:val="•"/>
      <w:lvlJc w:val="left"/>
      <w:pPr>
        <w:ind w:left="10931" w:hanging="360"/>
      </w:pPr>
      <w:rPr>
        <w:rFonts w:hint="default"/>
        <w:lang w:val="en-US" w:eastAsia="en-US" w:bidi="en-US"/>
      </w:rPr>
    </w:lvl>
    <w:lvl w:ilvl="7" w:tplc="15A24E3E">
      <w:numFmt w:val="bullet"/>
      <w:lvlText w:val="•"/>
      <w:lvlJc w:val="left"/>
      <w:pPr>
        <w:ind w:left="11068" w:hanging="360"/>
      </w:pPr>
      <w:rPr>
        <w:rFonts w:hint="default"/>
        <w:lang w:val="en-US" w:eastAsia="en-US" w:bidi="en-US"/>
      </w:rPr>
    </w:lvl>
    <w:lvl w:ilvl="8" w:tplc="F572B940">
      <w:numFmt w:val="bullet"/>
      <w:lvlText w:val="•"/>
      <w:lvlJc w:val="left"/>
      <w:pPr>
        <w:ind w:left="11205" w:hanging="360"/>
      </w:pPr>
      <w:rPr>
        <w:rFonts w:hint="default"/>
        <w:lang w:val="en-US" w:eastAsia="en-US" w:bidi="en-US"/>
      </w:rPr>
    </w:lvl>
  </w:abstractNum>
  <w:abstractNum w:abstractNumId="3" w15:restartNumberingAfterBreak="0">
    <w:nsid w:val="536635A3"/>
    <w:multiLevelType w:val="hybridMultilevel"/>
    <w:tmpl w:val="CDB8ACE8"/>
    <w:lvl w:ilvl="0" w:tplc="E4F04FD8">
      <w:numFmt w:val="bullet"/>
      <w:lvlText w:val=""/>
      <w:lvlJc w:val="left"/>
      <w:pPr>
        <w:ind w:left="1192" w:hanging="361"/>
      </w:pPr>
      <w:rPr>
        <w:rFonts w:ascii="Symbol" w:eastAsia="Symbol" w:hAnsi="Symbol" w:cs="Symbol" w:hint="default"/>
        <w:w w:val="100"/>
        <w:sz w:val="24"/>
        <w:szCs w:val="24"/>
        <w:lang w:val="en-US" w:eastAsia="en-US" w:bidi="en-US"/>
      </w:rPr>
    </w:lvl>
    <w:lvl w:ilvl="1" w:tplc="67189B54">
      <w:numFmt w:val="bullet"/>
      <w:lvlText w:val="•"/>
      <w:lvlJc w:val="left"/>
      <w:pPr>
        <w:ind w:left="2228" w:hanging="361"/>
      </w:pPr>
      <w:rPr>
        <w:rFonts w:hint="default"/>
        <w:lang w:val="en-US" w:eastAsia="en-US" w:bidi="en-US"/>
      </w:rPr>
    </w:lvl>
    <w:lvl w:ilvl="2" w:tplc="57524108">
      <w:numFmt w:val="bullet"/>
      <w:lvlText w:val="•"/>
      <w:lvlJc w:val="left"/>
      <w:pPr>
        <w:ind w:left="3256" w:hanging="361"/>
      </w:pPr>
      <w:rPr>
        <w:rFonts w:hint="default"/>
        <w:lang w:val="en-US" w:eastAsia="en-US" w:bidi="en-US"/>
      </w:rPr>
    </w:lvl>
    <w:lvl w:ilvl="3" w:tplc="61F46C18">
      <w:numFmt w:val="bullet"/>
      <w:lvlText w:val="•"/>
      <w:lvlJc w:val="left"/>
      <w:pPr>
        <w:ind w:left="4284" w:hanging="361"/>
      </w:pPr>
      <w:rPr>
        <w:rFonts w:hint="default"/>
        <w:lang w:val="en-US" w:eastAsia="en-US" w:bidi="en-US"/>
      </w:rPr>
    </w:lvl>
    <w:lvl w:ilvl="4" w:tplc="6CBE448A">
      <w:numFmt w:val="bullet"/>
      <w:lvlText w:val="•"/>
      <w:lvlJc w:val="left"/>
      <w:pPr>
        <w:ind w:left="5312" w:hanging="361"/>
      </w:pPr>
      <w:rPr>
        <w:rFonts w:hint="default"/>
        <w:lang w:val="en-US" w:eastAsia="en-US" w:bidi="en-US"/>
      </w:rPr>
    </w:lvl>
    <w:lvl w:ilvl="5" w:tplc="E31C5530">
      <w:numFmt w:val="bullet"/>
      <w:lvlText w:val="•"/>
      <w:lvlJc w:val="left"/>
      <w:pPr>
        <w:ind w:left="6340" w:hanging="361"/>
      </w:pPr>
      <w:rPr>
        <w:rFonts w:hint="default"/>
        <w:lang w:val="en-US" w:eastAsia="en-US" w:bidi="en-US"/>
      </w:rPr>
    </w:lvl>
    <w:lvl w:ilvl="6" w:tplc="83B2D690">
      <w:numFmt w:val="bullet"/>
      <w:lvlText w:val="•"/>
      <w:lvlJc w:val="left"/>
      <w:pPr>
        <w:ind w:left="7368" w:hanging="361"/>
      </w:pPr>
      <w:rPr>
        <w:rFonts w:hint="default"/>
        <w:lang w:val="en-US" w:eastAsia="en-US" w:bidi="en-US"/>
      </w:rPr>
    </w:lvl>
    <w:lvl w:ilvl="7" w:tplc="11A40C0C">
      <w:numFmt w:val="bullet"/>
      <w:lvlText w:val="•"/>
      <w:lvlJc w:val="left"/>
      <w:pPr>
        <w:ind w:left="8396" w:hanging="361"/>
      </w:pPr>
      <w:rPr>
        <w:rFonts w:hint="default"/>
        <w:lang w:val="en-US" w:eastAsia="en-US" w:bidi="en-US"/>
      </w:rPr>
    </w:lvl>
    <w:lvl w:ilvl="8" w:tplc="7388C196">
      <w:numFmt w:val="bullet"/>
      <w:lvlText w:val="•"/>
      <w:lvlJc w:val="left"/>
      <w:pPr>
        <w:ind w:left="9424" w:hanging="361"/>
      </w:pPr>
      <w:rPr>
        <w:rFonts w:hint="default"/>
        <w:lang w:val="en-US" w:eastAsia="en-US" w:bidi="en-US"/>
      </w:rPr>
    </w:lvl>
  </w:abstractNum>
  <w:abstractNum w:abstractNumId="4" w15:restartNumberingAfterBreak="0">
    <w:nsid w:val="540E6C6B"/>
    <w:multiLevelType w:val="hybridMultilevel"/>
    <w:tmpl w:val="47D405FC"/>
    <w:lvl w:ilvl="0" w:tplc="D4681384">
      <w:start w:val="28"/>
      <w:numFmt w:val="decimal"/>
      <w:lvlText w:val="%1."/>
      <w:lvlJc w:val="left"/>
      <w:pPr>
        <w:ind w:left="832" w:hanging="360"/>
        <w:jc w:val="left"/>
      </w:pPr>
      <w:rPr>
        <w:rFonts w:ascii="Arial" w:eastAsia="Arial" w:hAnsi="Arial" w:cs="Arial" w:hint="default"/>
        <w:b/>
        <w:bCs/>
        <w:w w:val="99"/>
        <w:sz w:val="24"/>
        <w:szCs w:val="24"/>
        <w:lang w:val="en-US" w:eastAsia="en-US" w:bidi="en-US"/>
      </w:rPr>
    </w:lvl>
    <w:lvl w:ilvl="1" w:tplc="0772E8BC">
      <w:start w:val="1"/>
      <w:numFmt w:val="lowerLetter"/>
      <w:lvlText w:val="(%2)"/>
      <w:lvlJc w:val="left"/>
      <w:pPr>
        <w:ind w:left="1192" w:hanging="361"/>
        <w:jc w:val="left"/>
      </w:pPr>
      <w:rPr>
        <w:rFonts w:ascii="Arial" w:eastAsia="Arial" w:hAnsi="Arial" w:cs="Arial" w:hint="default"/>
        <w:w w:val="99"/>
        <w:sz w:val="24"/>
        <w:szCs w:val="24"/>
        <w:lang w:val="en-US" w:eastAsia="en-US" w:bidi="en-US"/>
      </w:rPr>
    </w:lvl>
    <w:lvl w:ilvl="2" w:tplc="39FA8746">
      <w:numFmt w:val="bullet"/>
      <w:lvlText w:val="•"/>
      <w:lvlJc w:val="left"/>
      <w:pPr>
        <w:ind w:left="2342" w:hanging="361"/>
      </w:pPr>
      <w:rPr>
        <w:rFonts w:hint="default"/>
        <w:lang w:val="en-US" w:eastAsia="en-US" w:bidi="en-US"/>
      </w:rPr>
    </w:lvl>
    <w:lvl w:ilvl="3" w:tplc="F2C4DBAE">
      <w:numFmt w:val="bullet"/>
      <w:lvlText w:val="•"/>
      <w:lvlJc w:val="left"/>
      <w:pPr>
        <w:ind w:left="3484" w:hanging="361"/>
      </w:pPr>
      <w:rPr>
        <w:rFonts w:hint="default"/>
        <w:lang w:val="en-US" w:eastAsia="en-US" w:bidi="en-US"/>
      </w:rPr>
    </w:lvl>
    <w:lvl w:ilvl="4" w:tplc="1DC0A230">
      <w:numFmt w:val="bullet"/>
      <w:lvlText w:val="•"/>
      <w:lvlJc w:val="left"/>
      <w:pPr>
        <w:ind w:left="4626" w:hanging="361"/>
      </w:pPr>
      <w:rPr>
        <w:rFonts w:hint="default"/>
        <w:lang w:val="en-US" w:eastAsia="en-US" w:bidi="en-US"/>
      </w:rPr>
    </w:lvl>
    <w:lvl w:ilvl="5" w:tplc="A5CAA5A6">
      <w:numFmt w:val="bullet"/>
      <w:lvlText w:val="•"/>
      <w:lvlJc w:val="left"/>
      <w:pPr>
        <w:ind w:left="5768" w:hanging="361"/>
      </w:pPr>
      <w:rPr>
        <w:rFonts w:hint="default"/>
        <w:lang w:val="en-US" w:eastAsia="en-US" w:bidi="en-US"/>
      </w:rPr>
    </w:lvl>
    <w:lvl w:ilvl="6" w:tplc="78F02170">
      <w:numFmt w:val="bullet"/>
      <w:lvlText w:val="•"/>
      <w:lvlJc w:val="left"/>
      <w:pPr>
        <w:ind w:left="6911" w:hanging="361"/>
      </w:pPr>
      <w:rPr>
        <w:rFonts w:hint="default"/>
        <w:lang w:val="en-US" w:eastAsia="en-US" w:bidi="en-US"/>
      </w:rPr>
    </w:lvl>
    <w:lvl w:ilvl="7" w:tplc="0F0C7A70">
      <w:numFmt w:val="bullet"/>
      <w:lvlText w:val="•"/>
      <w:lvlJc w:val="left"/>
      <w:pPr>
        <w:ind w:left="8053" w:hanging="361"/>
      </w:pPr>
      <w:rPr>
        <w:rFonts w:hint="default"/>
        <w:lang w:val="en-US" w:eastAsia="en-US" w:bidi="en-US"/>
      </w:rPr>
    </w:lvl>
    <w:lvl w:ilvl="8" w:tplc="7AC8CA56">
      <w:numFmt w:val="bullet"/>
      <w:lvlText w:val="•"/>
      <w:lvlJc w:val="left"/>
      <w:pPr>
        <w:ind w:left="9195" w:hanging="361"/>
      </w:pPr>
      <w:rPr>
        <w:rFonts w:hint="default"/>
        <w:lang w:val="en-US" w:eastAsia="en-US" w:bidi="en-US"/>
      </w:rPr>
    </w:lvl>
  </w:abstractNum>
  <w:abstractNum w:abstractNumId="5" w15:restartNumberingAfterBreak="0">
    <w:nsid w:val="574D627C"/>
    <w:multiLevelType w:val="hybridMultilevel"/>
    <w:tmpl w:val="965EF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294C1E"/>
    <w:multiLevelType w:val="hybridMultilevel"/>
    <w:tmpl w:val="BA1E963E"/>
    <w:lvl w:ilvl="0" w:tplc="4E6ABEF6">
      <w:numFmt w:val="bullet"/>
      <w:lvlText w:val="-"/>
      <w:lvlJc w:val="left"/>
      <w:pPr>
        <w:ind w:left="1192" w:hanging="361"/>
      </w:pPr>
      <w:rPr>
        <w:rFonts w:ascii="Arial" w:eastAsia="Arial" w:hAnsi="Arial" w:cs="Arial" w:hint="default"/>
        <w:spacing w:val="-2"/>
        <w:w w:val="99"/>
        <w:sz w:val="24"/>
        <w:szCs w:val="24"/>
        <w:lang w:val="en-US" w:eastAsia="en-US" w:bidi="en-US"/>
      </w:rPr>
    </w:lvl>
    <w:lvl w:ilvl="1" w:tplc="59EAECC0">
      <w:numFmt w:val="bullet"/>
      <w:lvlText w:val="•"/>
      <w:lvlJc w:val="left"/>
      <w:pPr>
        <w:ind w:left="2228" w:hanging="361"/>
      </w:pPr>
      <w:rPr>
        <w:rFonts w:hint="default"/>
        <w:lang w:val="en-US" w:eastAsia="en-US" w:bidi="en-US"/>
      </w:rPr>
    </w:lvl>
    <w:lvl w:ilvl="2" w:tplc="2632C7D6">
      <w:numFmt w:val="bullet"/>
      <w:lvlText w:val="•"/>
      <w:lvlJc w:val="left"/>
      <w:pPr>
        <w:ind w:left="3256" w:hanging="361"/>
      </w:pPr>
      <w:rPr>
        <w:rFonts w:hint="default"/>
        <w:lang w:val="en-US" w:eastAsia="en-US" w:bidi="en-US"/>
      </w:rPr>
    </w:lvl>
    <w:lvl w:ilvl="3" w:tplc="F016273C">
      <w:numFmt w:val="bullet"/>
      <w:lvlText w:val="•"/>
      <w:lvlJc w:val="left"/>
      <w:pPr>
        <w:ind w:left="4284" w:hanging="361"/>
      </w:pPr>
      <w:rPr>
        <w:rFonts w:hint="default"/>
        <w:lang w:val="en-US" w:eastAsia="en-US" w:bidi="en-US"/>
      </w:rPr>
    </w:lvl>
    <w:lvl w:ilvl="4" w:tplc="9FFE6F06">
      <w:numFmt w:val="bullet"/>
      <w:lvlText w:val="•"/>
      <w:lvlJc w:val="left"/>
      <w:pPr>
        <w:ind w:left="5312" w:hanging="361"/>
      </w:pPr>
      <w:rPr>
        <w:rFonts w:hint="default"/>
        <w:lang w:val="en-US" w:eastAsia="en-US" w:bidi="en-US"/>
      </w:rPr>
    </w:lvl>
    <w:lvl w:ilvl="5" w:tplc="9C04F2F2">
      <w:numFmt w:val="bullet"/>
      <w:lvlText w:val="•"/>
      <w:lvlJc w:val="left"/>
      <w:pPr>
        <w:ind w:left="6340" w:hanging="361"/>
      </w:pPr>
      <w:rPr>
        <w:rFonts w:hint="default"/>
        <w:lang w:val="en-US" w:eastAsia="en-US" w:bidi="en-US"/>
      </w:rPr>
    </w:lvl>
    <w:lvl w:ilvl="6" w:tplc="F412F330">
      <w:numFmt w:val="bullet"/>
      <w:lvlText w:val="•"/>
      <w:lvlJc w:val="left"/>
      <w:pPr>
        <w:ind w:left="7368" w:hanging="361"/>
      </w:pPr>
      <w:rPr>
        <w:rFonts w:hint="default"/>
        <w:lang w:val="en-US" w:eastAsia="en-US" w:bidi="en-US"/>
      </w:rPr>
    </w:lvl>
    <w:lvl w:ilvl="7" w:tplc="1C22C5E0">
      <w:numFmt w:val="bullet"/>
      <w:lvlText w:val="•"/>
      <w:lvlJc w:val="left"/>
      <w:pPr>
        <w:ind w:left="8396" w:hanging="361"/>
      </w:pPr>
      <w:rPr>
        <w:rFonts w:hint="default"/>
        <w:lang w:val="en-US" w:eastAsia="en-US" w:bidi="en-US"/>
      </w:rPr>
    </w:lvl>
    <w:lvl w:ilvl="8" w:tplc="C4301C80">
      <w:numFmt w:val="bullet"/>
      <w:lvlText w:val="•"/>
      <w:lvlJc w:val="left"/>
      <w:pPr>
        <w:ind w:left="9424" w:hanging="361"/>
      </w:pPr>
      <w:rPr>
        <w:rFonts w:hint="default"/>
        <w:lang w:val="en-US" w:eastAsia="en-US" w:bidi="en-US"/>
      </w:rPr>
    </w:lvl>
  </w:abstractNum>
  <w:num w:numId="1" w16cid:durableId="869683876">
    <w:abstractNumId w:val="4"/>
  </w:num>
  <w:num w:numId="2" w16cid:durableId="1085568295">
    <w:abstractNumId w:val="6"/>
  </w:num>
  <w:num w:numId="3" w16cid:durableId="1910462782">
    <w:abstractNumId w:val="3"/>
  </w:num>
  <w:num w:numId="4" w16cid:durableId="494145297">
    <w:abstractNumId w:val="0"/>
  </w:num>
  <w:num w:numId="5" w16cid:durableId="1570381754">
    <w:abstractNumId w:val="1"/>
  </w:num>
  <w:num w:numId="6" w16cid:durableId="2062901964">
    <w:abstractNumId w:val="2"/>
  </w:num>
  <w:num w:numId="7" w16cid:durableId="1562129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A2"/>
    <w:rsid w:val="0002521B"/>
    <w:rsid w:val="00033EAB"/>
    <w:rsid w:val="00050D3B"/>
    <w:rsid w:val="00050F57"/>
    <w:rsid w:val="00052EE7"/>
    <w:rsid w:val="00054B9D"/>
    <w:rsid w:val="00080F76"/>
    <w:rsid w:val="000A0BE1"/>
    <w:rsid w:val="000B26C8"/>
    <w:rsid w:val="000B53EE"/>
    <w:rsid w:val="000D027F"/>
    <w:rsid w:val="000D1F13"/>
    <w:rsid w:val="000E4A83"/>
    <w:rsid w:val="000F5A18"/>
    <w:rsid w:val="001025F3"/>
    <w:rsid w:val="001074FD"/>
    <w:rsid w:val="00112733"/>
    <w:rsid w:val="00134CDA"/>
    <w:rsid w:val="00134F08"/>
    <w:rsid w:val="001412C4"/>
    <w:rsid w:val="00153F5E"/>
    <w:rsid w:val="00154E63"/>
    <w:rsid w:val="00165209"/>
    <w:rsid w:val="00183A79"/>
    <w:rsid w:val="001873C2"/>
    <w:rsid w:val="00197739"/>
    <w:rsid w:val="001A0F53"/>
    <w:rsid w:val="001A111B"/>
    <w:rsid w:val="001B55E2"/>
    <w:rsid w:val="001B7052"/>
    <w:rsid w:val="001E6009"/>
    <w:rsid w:val="001F5285"/>
    <w:rsid w:val="001F7A7F"/>
    <w:rsid w:val="0020439D"/>
    <w:rsid w:val="002078A9"/>
    <w:rsid w:val="002532DF"/>
    <w:rsid w:val="00265EED"/>
    <w:rsid w:val="0028678A"/>
    <w:rsid w:val="0028794E"/>
    <w:rsid w:val="002973BC"/>
    <w:rsid w:val="002B4EAB"/>
    <w:rsid w:val="002B5386"/>
    <w:rsid w:val="002D4237"/>
    <w:rsid w:val="002E55A8"/>
    <w:rsid w:val="002E6AEE"/>
    <w:rsid w:val="002F14FA"/>
    <w:rsid w:val="002F21BF"/>
    <w:rsid w:val="00303809"/>
    <w:rsid w:val="003129C8"/>
    <w:rsid w:val="00323CC7"/>
    <w:rsid w:val="0034187A"/>
    <w:rsid w:val="003640FD"/>
    <w:rsid w:val="00371BA6"/>
    <w:rsid w:val="0038223F"/>
    <w:rsid w:val="003826E9"/>
    <w:rsid w:val="00395190"/>
    <w:rsid w:val="00396FDE"/>
    <w:rsid w:val="003A141F"/>
    <w:rsid w:val="003B04F1"/>
    <w:rsid w:val="003C0102"/>
    <w:rsid w:val="003C1C02"/>
    <w:rsid w:val="003D263B"/>
    <w:rsid w:val="003E5DE0"/>
    <w:rsid w:val="003E6685"/>
    <w:rsid w:val="0040427C"/>
    <w:rsid w:val="0041617D"/>
    <w:rsid w:val="0043534A"/>
    <w:rsid w:val="00460DEA"/>
    <w:rsid w:val="00464278"/>
    <w:rsid w:val="0048024B"/>
    <w:rsid w:val="004A2CAC"/>
    <w:rsid w:val="004B7E3F"/>
    <w:rsid w:val="004C3325"/>
    <w:rsid w:val="004F0D5F"/>
    <w:rsid w:val="00502213"/>
    <w:rsid w:val="00517E86"/>
    <w:rsid w:val="00535B39"/>
    <w:rsid w:val="00562738"/>
    <w:rsid w:val="0058044A"/>
    <w:rsid w:val="005871A8"/>
    <w:rsid w:val="005B5134"/>
    <w:rsid w:val="005D2AC6"/>
    <w:rsid w:val="005E0B46"/>
    <w:rsid w:val="005F4CF1"/>
    <w:rsid w:val="006074DC"/>
    <w:rsid w:val="00614347"/>
    <w:rsid w:val="006157E0"/>
    <w:rsid w:val="0063010D"/>
    <w:rsid w:val="00634916"/>
    <w:rsid w:val="00641AF3"/>
    <w:rsid w:val="00660F10"/>
    <w:rsid w:val="0066359E"/>
    <w:rsid w:val="00675C70"/>
    <w:rsid w:val="00680F94"/>
    <w:rsid w:val="00692368"/>
    <w:rsid w:val="006B408A"/>
    <w:rsid w:val="006D0A01"/>
    <w:rsid w:val="006E5307"/>
    <w:rsid w:val="0070376C"/>
    <w:rsid w:val="00722B24"/>
    <w:rsid w:val="007367A4"/>
    <w:rsid w:val="00750551"/>
    <w:rsid w:val="0076527C"/>
    <w:rsid w:val="00765389"/>
    <w:rsid w:val="0079271A"/>
    <w:rsid w:val="00792C77"/>
    <w:rsid w:val="00795163"/>
    <w:rsid w:val="007A0F3A"/>
    <w:rsid w:val="007B16FE"/>
    <w:rsid w:val="007B3188"/>
    <w:rsid w:val="007C0917"/>
    <w:rsid w:val="0081122A"/>
    <w:rsid w:val="00845684"/>
    <w:rsid w:val="00873849"/>
    <w:rsid w:val="00887842"/>
    <w:rsid w:val="00891ACE"/>
    <w:rsid w:val="008953BF"/>
    <w:rsid w:val="008B588D"/>
    <w:rsid w:val="008C1C2B"/>
    <w:rsid w:val="008C6641"/>
    <w:rsid w:val="008D3C2B"/>
    <w:rsid w:val="008D5DFB"/>
    <w:rsid w:val="008F64C2"/>
    <w:rsid w:val="00916BCF"/>
    <w:rsid w:val="0092488A"/>
    <w:rsid w:val="00935467"/>
    <w:rsid w:val="00937D83"/>
    <w:rsid w:val="00981CF6"/>
    <w:rsid w:val="009A3F9E"/>
    <w:rsid w:val="009E13D2"/>
    <w:rsid w:val="00A0331C"/>
    <w:rsid w:val="00A06065"/>
    <w:rsid w:val="00A103D2"/>
    <w:rsid w:val="00A1100E"/>
    <w:rsid w:val="00A16093"/>
    <w:rsid w:val="00A31DD6"/>
    <w:rsid w:val="00A3618E"/>
    <w:rsid w:val="00A61A9A"/>
    <w:rsid w:val="00A7383D"/>
    <w:rsid w:val="00AA5760"/>
    <w:rsid w:val="00AE37DE"/>
    <w:rsid w:val="00B00498"/>
    <w:rsid w:val="00B67EF8"/>
    <w:rsid w:val="00B74DA8"/>
    <w:rsid w:val="00B870ED"/>
    <w:rsid w:val="00B93BD9"/>
    <w:rsid w:val="00B94BDE"/>
    <w:rsid w:val="00BB1E0A"/>
    <w:rsid w:val="00BC1208"/>
    <w:rsid w:val="00BD0495"/>
    <w:rsid w:val="00BD3908"/>
    <w:rsid w:val="00BE00A3"/>
    <w:rsid w:val="00BF44F5"/>
    <w:rsid w:val="00BF495A"/>
    <w:rsid w:val="00C14C2C"/>
    <w:rsid w:val="00C15792"/>
    <w:rsid w:val="00C27110"/>
    <w:rsid w:val="00C32C66"/>
    <w:rsid w:val="00C37B37"/>
    <w:rsid w:val="00C52311"/>
    <w:rsid w:val="00C54D2B"/>
    <w:rsid w:val="00C67AA9"/>
    <w:rsid w:val="00C72179"/>
    <w:rsid w:val="00C8019B"/>
    <w:rsid w:val="00C80929"/>
    <w:rsid w:val="00C90300"/>
    <w:rsid w:val="00C95277"/>
    <w:rsid w:val="00CB4F21"/>
    <w:rsid w:val="00D10A55"/>
    <w:rsid w:val="00D21415"/>
    <w:rsid w:val="00D2319B"/>
    <w:rsid w:val="00D278E8"/>
    <w:rsid w:val="00D61DA3"/>
    <w:rsid w:val="00D62C59"/>
    <w:rsid w:val="00D6594D"/>
    <w:rsid w:val="00D74444"/>
    <w:rsid w:val="00D7639A"/>
    <w:rsid w:val="00DB5698"/>
    <w:rsid w:val="00DC7B86"/>
    <w:rsid w:val="00DD0784"/>
    <w:rsid w:val="00DD1DD4"/>
    <w:rsid w:val="00DD1F93"/>
    <w:rsid w:val="00DF4D8E"/>
    <w:rsid w:val="00E025FF"/>
    <w:rsid w:val="00E11FF0"/>
    <w:rsid w:val="00E57CDD"/>
    <w:rsid w:val="00E73F32"/>
    <w:rsid w:val="00EE4A26"/>
    <w:rsid w:val="00EE5265"/>
    <w:rsid w:val="00EF1172"/>
    <w:rsid w:val="00EF61A9"/>
    <w:rsid w:val="00F02FEE"/>
    <w:rsid w:val="00F04F90"/>
    <w:rsid w:val="00F070EC"/>
    <w:rsid w:val="00F1295C"/>
    <w:rsid w:val="00F46DA2"/>
    <w:rsid w:val="00F51C41"/>
    <w:rsid w:val="00F60361"/>
    <w:rsid w:val="00F745D5"/>
    <w:rsid w:val="00FA088D"/>
    <w:rsid w:val="00FA22A4"/>
    <w:rsid w:val="00FD4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9C103"/>
  <w15:docId w15:val="{6DAC5A98-8497-4B19-AE21-080A3CFA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832"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7110"/>
    <w:pPr>
      <w:tabs>
        <w:tab w:val="center" w:pos="4680"/>
        <w:tab w:val="right" w:pos="9360"/>
      </w:tabs>
    </w:pPr>
  </w:style>
  <w:style w:type="character" w:customStyle="1" w:styleId="HeaderChar">
    <w:name w:val="Header Char"/>
    <w:basedOn w:val="DefaultParagraphFont"/>
    <w:link w:val="Header"/>
    <w:uiPriority w:val="99"/>
    <w:rsid w:val="00C27110"/>
    <w:rPr>
      <w:rFonts w:ascii="Arial" w:eastAsia="Arial" w:hAnsi="Arial" w:cs="Arial"/>
      <w:lang w:bidi="en-US"/>
    </w:rPr>
  </w:style>
  <w:style w:type="paragraph" w:styleId="Footer">
    <w:name w:val="footer"/>
    <w:basedOn w:val="Normal"/>
    <w:link w:val="FooterChar"/>
    <w:uiPriority w:val="99"/>
    <w:unhideWhenUsed/>
    <w:rsid w:val="00C27110"/>
    <w:pPr>
      <w:tabs>
        <w:tab w:val="center" w:pos="4680"/>
        <w:tab w:val="right" w:pos="9360"/>
      </w:tabs>
    </w:pPr>
  </w:style>
  <w:style w:type="character" w:customStyle="1" w:styleId="FooterChar">
    <w:name w:val="Footer Char"/>
    <w:basedOn w:val="DefaultParagraphFont"/>
    <w:link w:val="Footer"/>
    <w:uiPriority w:val="99"/>
    <w:rsid w:val="00C27110"/>
    <w:rPr>
      <w:rFonts w:ascii="Arial" w:eastAsia="Arial" w:hAnsi="Arial" w:cs="Arial"/>
      <w:lang w:bidi="en-US"/>
    </w:rPr>
  </w:style>
  <w:style w:type="paragraph" w:styleId="Revision">
    <w:name w:val="Revision"/>
    <w:hidden/>
    <w:uiPriority w:val="99"/>
    <w:semiHidden/>
    <w:rsid w:val="00C27110"/>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8B588D"/>
    <w:rPr>
      <w:color w:val="0000FF" w:themeColor="hyperlink"/>
      <w:u w:val="single"/>
    </w:rPr>
  </w:style>
  <w:style w:type="character" w:styleId="UnresolvedMention">
    <w:name w:val="Unresolved Mention"/>
    <w:basedOn w:val="DefaultParagraphFont"/>
    <w:uiPriority w:val="99"/>
    <w:semiHidden/>
    <w:unhideWhenUsed/>
    <w:rsid w:val="008B588D"/>
    <w:rPr>
      <w:color w:val="605E5C"/>
      <w:shd w:val="clear" w:color="auto" w:fill="E1DFDD"/>
    </w:rPr>
  </w:style>
  <w:style w:type="character" w:styleId="FollowedHyperlink">
    <w:name w:val="FollowedHyperlink"/>
    <w:basedOn w:val="DefaultParagraphFont"/>
    <w:uiPriority w:val="99"/>
    <w:semiHidden/>
    <w:unhideWhenUsed/>
    <w:rsid w:val="006D0A01"/>
    <w:rPr>
      <w:color w:val="800080" w:themeColor="followedHyperlink"/>
      <w:u w:val="single"/>
    </w:rPr>
  </w:style>
  <w:style w:type="character" w:styleId="CommentReference">
    <w:name w:val="annotation reference"/>
    <w:basedOn w:val="DefaultParagraphFont"/>
    <w:uiPriority w:val="99"/>
    <w:semiHidden/>
    <w:unhideWhenUsed/>
    <w:rsid w:val="001A0F53"/>
    <w:rPr>
      <w:sz w:val="16"/>
      <w:szCs w:val="16"/>
    </w:rPr>
  </w:style>
  <w:style w:type="paragraph" w:styleId="CommentText">
    <w:name w:val="annotation text"/>
    <w:basedOn w:val="Normal"/>
    <w:link w:val="CommentTextChar"/>
    <w:uiPriority w:val="99"/>
    <w:unhideWhenUsed/>
    <w:rsid w:val="001A0F53"/>
    <w:rPr>
      <w:sz w:val="20"/>
      <w:szCs w:val="20"/>
    </w:rPr>
  </w:style>
  <w:style w:type="character" w:customStyle="1" w:styleId="CommentTextChar">
    <w:name w:val="Comment Text Char"/>
    <w:basedOn w:val="DefaultParagraphFont"/>
    <w:link w:val="CommentText"/>
    <w:uiPriority w:val="99"/>
    <w:rsid w:val="001A0F53"/>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1A0F53"/>
    <w:rPr>
      <w:b/>
      <w:bCs/>
    </w:rPr>
  </w:style>
  <w:style w:type="character" w:customStyle="1" w:styleId="CommentSubjectChar">
    <w:name w:val="Comment Subject Char"/>
    <w:basedOn w:val="CommentTextChar"/>
    <w:link w:val="CommentSubject"/>
    <w:uiPriority w:val="99"/>
    <w:semiHidden/>
    <w:rsid w:val="001A0F53"/>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006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12da10d-071b-4b94-8abc-9ec4044d1516}" enabled="0" method="" siteId="{512da10d-071b-4b94-8abc-9ec4044d1516}"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4</Pages>
  <Words>1119</Words>
  <Characters>5517</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pwilson</dc:creator>
  <cp:lastModifiedBy>West, Latatia</cp:lastModifiedBy>
  <cp:revision>4</cp:revision>
  <dcterms:created xsi:type="dcterms:W3CDTF">2026-06-24T21:09:00Z</dcterms:created>
  <dcterms:modified xsi:type="dcterms:W3CDTF">2026-06-24T21:33:00Z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for Office 365</vt:lpwstr>
  </property>
  <property fmtid="{D5CDD505-2E9C-101B-9397-08002B2CF9AE}" pid="4" name="LastSaved">
    <vt:filetime>2020-04-14T00:00:00Z</vt:filetime>
  </property>
  <property fmtid="{D5CDD505-2E9C-101B-9397-08002B2CF9AE}" pid="5" name="GrammarlyDocumentId">
    <vt:lpwstr>e624adc940ff7072b3f9b8c370139d07ab0bf7edf3c425f410b7a3ade5940153</vt:lpwstr>
  </property>
</Properties>
</file>